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B042" w14:textId="36BA5540" w:rsidR="005940D6" w:rsidRPr="00357864" w:rsidRDefault="00357864" w:rsidP="005940D6">
      <w:pPr>
        <w:rPr>
          <w:b/>
          <w:bCs/>
          <w:color w:val="002060"/>
        </w:rPr>
      </w:pPr>
      <w:r w:rsidRPr="00357864">
        <w:rPr>
          <w:b/>
          <w:bCs/>
          <w:color w:val="002060"/>
        </w:rPr>
        <w:t>JOB TITLE</w:t>
      </w:r>
      <w:r w:rsidR="006137CD">
        <w:rPr>
          <w:b/>
          <w:bCs/>
          <w:color w:val="002060"/>
        </w:rPr>
        <w:t xml:space="preserve"> </w:t>
      </w:r>
      <w:sdt>
        <w:sdtPr>
          <w:rPr>
            <w:b/>
            <w:bCs/>
            <w:color w:val="002060"/>
          </w:rPr>
          <w:id w:val="-995408617"/>
          <w:placeholder>
            <w:docPart w:val="DefaultPlaceholder_-1854013440"/>
          </w:placeholder>
          <w:showingPlcHdr/>
          <w:text/>
        </w:sdtPr>
        <w:sdtEndPr/>
        <w:sdtContent>
          <w:r w:rsidR="006137CD" w:rsidRPr="005228AB">
            <w:rPr>
              <w:rStyle w:val="PlaceholderText"/>
            </w:rPr>
            <w:t>Click or tap here to enter text.</w:t>
          </w:r>
        </w:sdtContent>
      </w:sdt>
    </w:p>
    <w:p w14:paraId="7FBE792A" w14:textId="4F62B25C" w:rsidR="00357864" w:rsidRPr="00357864" w:rsidRDefault="00357864" w:rsidP="005940D6">
      <w:pPr>
        <w:rPr>
          <w:b/>
          <w:bCs/>
          <w:color w:val="002060"/>
        </w:rPr>
      </w:pPr>
      <w:r w:rsidRPr="00357864">
        <w:rPr>
          <w:b/>
          <w:bCs/>
          <w:color w:val="002060"/>
        </w:rPr>
        <w:t>COMPLETED BY</w:t>
      </w:r>
      <w:r w:rsidR="006137CD">
        <w:rPr>
          <w:b/>
          <w:bCs/>
          <w:color w:val="002060"/>
        </w:rPr>
        <w:t xml:space="preserve"> </w:t>
      </w:r>
      <w:sdt>
        <w:sdtPr>
          <w:rPr>
            <w:b/>
            <w:bCs/>
            <w:color w:val="002060"/>
          </w:rPr>
          <w:id w:val="-534889489"/>
          <w:placeholder>
            <w:docPart w:val="DefaultPlaceholder_-1854013440"/>
          </w:placeholder>
          <w:showingPlcHdr/>
          <w:text/>
        </w:sdtPr>
        <w:sdtEndPr/>
        <w:sdtContent>
          <w:r w:rsidR="006137CD" w:rsidRPr="005228AB">
            <w:rPr>
              <w:rStyle w:val="PlaceholderText"/>
            </w:rPr>
            <w:t>Click or tap here to enter text.</w:t>
          </w:r>
        </w:sdtContent>
      </w:sdt>
    </w:p>
    <w:p w14:paraId="51ADF207" w14:textId="1BD16383" w:rsidR="005940D6" w:rsidRPr="005940D6" w:rsidRDefault="005940D6" w:rsidP="005940D6">
      <w:pPr>
        <w:rPr>
          <w:sz w:val="20"/>
          <w:szCs w:val="20"/>
        </w:rPr>
      </w:pPr>
      <w:r w:rsidRPr="005940D6">
        <w:rPr>
          <w:sz w:val="20"/>
          <w:szCs w:val="20"/>
        </w:rPr>
        <w:t>Dear Candidate</w:t>
      </w:r>
    </w:p>
    <w:p w14:paraId="4AE34E63" w14:textId="63EF8B48" w:rsidR="005940D6" w:rsidRPr="005940D6" w:rsidRDefault="005940D6" w:rsidP="006137CD">
      <w:pPr>
        <w:spacing w:line="240" w:lineRule="auto"/>
        <w:jc w:val="both"/>
        <w:rPr>
          <w:sz w:val="20"/>
          <w:szCs w:val="20"/>
        </w:rPr>
      </w:pPr>
      <w:r w:rsidRPr="005940D6">
        <w:rPr>
          <w:sz w:val="20"/>
          <w:szCs w:val="20"/>
        </w:rPr>
        <w:t>MFT have a duty of care to assess your health in relation to the role you will be undertaking and to determine if any adjustments are required to support you in the workplace.</w:t>
      </w:r>
    </w:p>
    <w:p w14:paraId="64CD2F6B" w14:textId="04D7C6AC" w:rsidR="005940D6" w:rsidRPr="005940D6" w:rsidRDefault="005940D6" w:rsidP="006137CD">
      <w:pPr>
        <w:spacing w:line="240" w:lineRule="auto"/>
        <w:jc w:val="both"/>
        <w:rPr>
          <w:sz w:val="20"/>
          <w:szCs w:val="20"/>
        </w:rPr>
      </w:pPr>
      <w:r w:rsidRPr="005940D6">
        <w:rPr>
          <w:sz w:val="20"/>
          <w:szCs w:val="20"/>
        </w:rPr>
        <w:t xml:space="preserve">The recruiting manager has completed this document to confirm the functional requirements in relation to your health and the possible adjustments/support that may be </w:t>
      </w:r>
      <w:r w:rsidR="00D169DC" w:rsidRPr="005940D6">
        <w:rPr>
          <w:sz w:val="20"/>
          <w:szCs w:val="20"/>
        </w:rPr>
        <w:t>available if</w:t>
      </w:r>
      <w:r w:rsidRPr="005940D6">
        <w:rPr>
          <w:sz w:val="20"/>
          <w:szCs w:val="20"/>
        </w:rPr>
        <w:t xml:space="preserve"> you are successful.</w:t>
      </w:r>
    </w:p>
    <w:p w14:paraId="1E7330C0" w14:textId="2F5AEA03" w:rsidR="005940D6" w:rsidRPr="005940D6" w:rsidRDefault="005940D6" w:rsidP="006137CD">
      <w:pPr>
        <w:spacing w:line="240" w:lineRule="auto"/>
        <w:jc w:val="both"/>
        <w:rPr>
          <w:sz w:val="20"/>
          <w:szCs w:val="20"/>
        </w:rPr>
      </w:pPr>
      <w:r w:rsidRPr="005940D6">
        <w:rPr>
          <w:sz w:val="20"/>
          <w:szCs w:val="20"/>
        </w:rPr>
        <w:t xml:space="preserve">These details are for information purposes </w:t>
      </w:r>
      <w:r w:rsidRPr="005940D6">
        <w:rPr>
          <w:sz w:val="20"/>
          <w:szCs w:val="20"/>
          <w:u w:val="single"/>
        </w:rPr>
        <w:t>only</w:t>
      </w:r>
      <w:r w:rsidRPr="005940D6">
        <w:rPr>
          <w:sz w:val="20"/>
          <w:szCs w:val="20"/>
        </w:rPr>
        <w:t xml:space="preserve"> at the advertising stage.  If you have any health condition/s that may require adjustments/support in the workplace, you will be required to declare these via the health declaration link that will be emailed directly to you, if you are successful in being offered the role.</w:t>
      </w:r>
    </w:p>
    <w:p w14:paraId="4DD037C7" w14:textId="623EBEF5" w:rsidR="005940D6" w:rsidRPr="005940D6" w:rsidRDefault="005940D6" w:rsidP="006137CD">
      <w:pPr>
        <w:spacing w:line="240" w:lineRule="auto"/>
        <w:jc w:val="both"/>
        <w:rPr>
          <w:sz w:val="20"/>
          <w:szCs w:val="20"/>
        </w:rPr>
      </w:pPr>
      <w:r w:rsidRPr="005940D6">
        <w:rPr>
          <w:sz w:val="20"/>
          <w:szCs w:val="20"/>
        </w:rPr>
        <w:t>If you have declared a health condition, you will be contacted by the Employee Health &amp; Wellbeing (EHW) Service to discuss, in confidence, you</w:t>
      </w:r>
      <w:r>
        <w:rPr>
          <w:sz w:val="20"/>
          <w:szCs w:val="20"/>
        </w:rPr>
        <w:t>r</w:t>
      </w:r>
      <w:r w:rsidRPr="005940D6">
        <w:rPr>
          <w:sz w:val="20"/>
          <w:szCs w:val="20"/>
        </w:rPr>
        <w:t xml:space="preserve"> health status to identify any requirements in the workplace.</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4"/>
        <w:gridCol w:w="992"/>
        <w:gridCol w:w="4678"/>
        <w:gridCol w:w="4252"/>
      </w:tblGrid>
      <w:tr w:rsidR="00F0112B" w14:paraId="2A44358B" w14:textId="77777777" w:rsidTr="00E11B4D">
        <w:trPr>
          <w:jc w:val="center"/>
        </w:trPr>
        <w:tc>
          <w:tcPr>
            <w:tcW w:w="3256" w:type="dxa"/>
            <w:vAlign w:val="center"/>
          </w:tcPr>
          <w:p w14:paraId="5E0B499C" w14:textId="02DC4FC8" w:rsidR="00F0112B" w:rsidRPr="006135F6" w:rsidRDefault="00F0112B" w:rsidP="00543026">
            <w:pPr>
              <w:pStyle w:val="Heading1"/>
              <w:jc w:val="center"/>
              <w:rPr>
                <w:b/>
                <w:bCs/>
                <w:sz w:val="20"/>
                <w:szCs w:val="20"/>
              </w:rPr>
            </w:pPr>
            <w:r w:rsidRPr="006135F6">
              <w:rPr>
                <w:b/>
                <w:bCs/>
                <w:sz w:val="20"/>
                <w:szCs w:val="20"/>
              </w:rPr>
              <w:t>Role Requirement</w:t>
            </w:r>
          </w:p>
        </w:tc>
        <w:tc>
          <w:tcPr>
            <w:tcW w:w="2126" w:type="dxa"/>
            <w:gridSpan w:val="2"/>
            <w:vAlign w:val="center"/>
          </w:tcPr>
          <w:p w14:paraId="7B141158" w14:textId="3BD0FA93" w:rsidR="00F0112B" w:rsidRPr="002806A6" w:rsidRDefault="00F0112B" w:rsidP="00543026">
            <w:pPr>
              <w:pStyle w:val="Heading2"/>
              <w:jc w:val="center"/>
              <w:rPr>
                <w:b/>
                <w:bCs/>
                <w:sz w:val="18"/>
                <w:szCs w:val="18"/>
              </w:rPr>
            </w:pPr>
            <w:r w:rsidRPr="002806A6">
              <w:rPr>
                <w:b/>
                <w:bCs/>
                <w:sz w:val="18"/>
                <w:szCs w:val="18"/>
              </w:rPr>
              <w:t>Confirmation as to whether Role Requirement is applicable to role (Manager to indicate Yes or No for each section)</w:t>
            </w:r>
          </w:p>
        </w:tc>
        <w:tc>
          <w:tcPr>
            <w:tcW w:w="4678" w:type="dxa"/>
            <w:vAlign w:val="center"/>
          </w:tcPr>
          <w:p w14:paraId="4BEA5993" w14:textId="1D8BE403" w:rsidR="00F0112B" w:rsidRPr="006135F6" w:rsidRDefault="00F0112B" w:rsidP="00543026">
            <w:pPr>
              <w:pStyle w:val="Heading2"/>
              <w:jc w:val="center"/>
              <w:rPr>
                <w:b/>
                <w:bCs/>
                <w:sz w:val="20"/>
                <w:szCs w:val="20"/>
              </w:rPr>
            </w:pPr>
            <w:r w:rsidRPr="006135F6">
              <w:rPr>
                <w:b/>
                <w:bCs/>
                <w:sz w:val="20"/>
                <w:szCs w:val="20"/>
              </w:rPr>
              <w:t>Health problems that may affect work tasks</w:t>
            </w:r>
          </w:p>
        </w:tc>
        <w:tc>
          <w:tcPr>
            <w:tcW w:w="4252" w:type="dxa"/>
            <w:vAlign w:val="center"/>
          </w:tcPr>
          <w:p w14:paraId="787B38F0" w14:textId="53E0EFEE" w:rsidR="00F0112B" w:rsidRPr="006135F6" w:rsidRDefault="00F0112B" w:rsidP="00543026">
            <w:pPr>
              <w:pStyle w:val="Heading2"/>
              <w:jc w:val="center"/>
              <w:rPr>
                <w:b/>
                <w:bCs/>
                <w:sz w:val="20"/>
                <w:szCs w:val="20"/>
              </w:rPr>
            </w:pPr>
            <w:r w:rsidRPr="006135F6">
              <w:rPr>
                <w:b/>
                <w:bCs/>
                <w:sz w:val="20"/>
                <w:szCs w:val="20"/>
              </w:rPr>
              <w:t>Adjustments/support that may be available</w:t>
            </w:r>
          </w:p>
        </w:tc>
      </w:tr>
      <w:tr w:rsidR="005940D6" w14:paraId="6DC99989" w14:textId="77777777" w:rsidTr="00E11B4D">
        <w:trPr>
          <w:trHeight w:hRule="exact" w:val="227"/>
          <w:jc w:val="center"/>
        </w:trPr>
        <w:tc>
          <w:tcPr>
            <w:tcW w:w="3256" w:type="dxa"/>
            <w:shd w:val="clear" w:color="auto" w:fill="4472C4" w:themeFill="accent1"/>
          </w:tcPr>
          <w:p w14:paraId="15C6CDC5" w14:textId="3CDAD130" w:rsidR="005940D6" w:rsidRPr="002806A6" w:rsidRDefault="00543026" w:rsidP="005940D6">
            <w:pPr>
              <w:rPr>
                <w:b/>
                <w:bCs/>
                <w:sz w:val="16"/>
                <w:szCs w:val="16"/>
              </w:rPr>
            </w:pPr>
            <w:r w:rsidRPr="002806A6">
              <w:rPr>
                <w:b/>
                <w:bCs/>
                <w:sz w:val="16"/>
                <w:szCs w:val="16"/>
              </w:rPr>
              <w:t>Section 1</w:t>
            </w:r>
          </w:p>
        </w:tc>
        <w:tc>
          <w:tcPr>
            <w:tcW w:w="1134" w:type="dxa"/>
            <w:shd w:val="clear" w:color="auto" w:fill="4472C4" w:themeFill="accent1"/>
          </w:tcPr>
          <w:p w14:paraId="06D0C1DB" w14:textId="19077928" w:rsidR="005940D6" w:rsidRPr="002806A6" w:rsidRDefault="00543026" w:rsidP="00A0260A">
            <w:pPr>
              <w:jc w:val="center"/>
              <w:rPr>
                <w:b/>
                <w:bCs/>
                <w:sz w:val="16"/>
                <w:szCs w:val="16"/>
              </w:rPr>
            </w:pPr>
            <w:r w:rsidRPr="002806A6">
              <w:rPr>
                <w:b/>
                <w:bCs/>
                <w:sz w:val="16"/>
                <w:szCs w:val="16"/>
              </w:rPr>
              <w:t>Yes</w:t>
            </w:r>
          </w:p>
        </w:tc>
        <w:tc>
          <w:tcPr>
            <w:tcW w:w="992" w:type="dxa"/>
            <w:shd w:val="clear" w:color="auto" w:fill="4472C4" w:themeFill="accent1"/>
          </w:tcPr>
          <w:p w14:paraId="11A9A662" w14:textId="2C7926BE" w:rsidR="005940D6" w:rsidRPr="002806A6" w:rsidRDefault="00543026" w:rsidP="00A0260A">
            <w:pPr>
              <w:jc w:val="center"/>
              <w:rPr>
                <w:b/>
                <w:bCs/>
                <w:sz w:val="16"/>
                <w:szCs w:val="16"/>
              </w:rPr>
            </w:pPr>
            <w:r w:rsidRPr="002806A6">
              <w:rPr>
                <w:b/>
                <w:bCs/>
                <w:sz w:val="16"/>
                <w:szCs w:val="16"/>
              </w:rPr>
              <w:t>No</w:t>
            </w:r>
          </w:p>
        </w:tc>
        <w:tc>
          <w:tcPr>
            <w:tcW w:w="4678" w:type="dxa"/>
            <w:shd w:val="clear" w:color="auto" w:fill="4472C4" w:themeFill="accent1"/>
          </w:tcPr>
          <w:p w14:paraId="3460BD71" w14:textId="77777777" w:rsidR="005940D6" w:rsidRPr="002806A6" w:rsidRDefault="005940D6" w:rsidP="005940D6">
            <w:pPr>
              <w:rPr>
                <w:sz w:val="16"/>
                <w:szCs w:val="16"/>
              </w:rPr>
            </w:pPr>
          </w:p>
        </w:tc>
        <w:tc>
          <w:tcPr>
            <w:tcW w:w="4252" w:type="dxa"/>
            <w:shd w:val="clear" w:color="auto" w:fill="4472C4" w:themeFill="accent1"/>
          </w:tcPr>
          <w:p w14:paraId="7E506898" w14:textId="77777777" w:rsidR="005940D6" w:rsidRPr="002806A6" w:rsidRDefault="005940D6" w:rsidP="005940D6">
            <w:pPr>
              <w:rPr>
                <w:sz w:val="16"/>
                <w:szCs w:val="16"/>
              </w:rPr>
            </w:pPr>
          </w:p>
        </w:tc>
      </w:tr>
      <w:tr w:rsidR="005940D6" w14:paraId="3B847BD4" w14:textId="77777777" w:rsidTr="00E8468B">
        <w:trPr>
          <w:jc w:val="center"/>
        </w:trPr>
        <w:tc>
          <w:tcPr>
            <w:tcW w:w="3256" w:type="dxa"/>
          </w:tcPr>
          <w:p w14:paraId="4FCD0E82" w14:textId="77777777" w:rsidR="005940D6" w:rsidRPr="00F0112B" w:rsidRDefault="00543026" w:rsidP="00E11B4D">
            <w:pPr>
              <w:spacing w:line="240" w:lineRule="auto"/>
              <w:rPr>
                <w:rFonts w:cstheme="minorHAnsi"/>
                <w:b/>
                <w:bCs/>
                <w:sz w:val="20"/>
                <w:szCs w:val="20"/>
              </w:rPr>
            </w:pPr>
            <w:r w:rsidRPr="00F0112B">
              <w:rPr>
                <w:rFonts w:cstheme="minorHAnsi"/>
                <w:b/>
                <w:bCs/>
                <w:sz w:val="20"/>
                <w:szCs w:val="20"/>
              </w:rPr>
              <w:t>Direct contact with patients or handling specimens</w:t>
            </w:r>
          </w:p>
          <w:p w14:paraId="6A140298" w14:textId="4E691D8B" w:rsidR="00543026" w:rsidRPr="00F0112B" w:rsidRDefault="00F24995" w:rsidP="00E11B4D">
            <w:pPr>
              <w:spacing w:line="240" w:lineRule="auto"/>
              <w:rPr>
                <w:rFonts w:cstheme="minorHAnsi"/>
                <w:sz w:val="20"/>
                <w:szCs w:val="20"/>
              </w:rPr>
            </w:pPr>
            <w:r>
              <w:rPr>
                <w:rFonts w:cstheme="minorHAnsi"/>
                <w:sz w:val="20"/>
                <w:szCs w:val="20"/>
              </w:rPr>
              <w:t xml:space="preserve">This </w:t>
            </w:r>
            <w:r w:rsidR="00543026" w:rsidRPr="00F0112B">
              <w:rPr>
                <w:rFonts w:cstheme="minorHAnsi"/>
                <w:sz w:val="20"/>
                <w:szCs w:val="20"/>
              </w:rPr>
              <w:t xml:space="preserve">will include most nursing and medical roles, allied health professionals, nursery workers </w:t>
            </w:r>
            <w:r w:rsidR="00543026" w:rsidRPr="00F0112B">
              <w:rPr>
                <w:rFonts w:cstheme="minorHAnsi"/>
                <w:i/>
                <w:iCs/>
                <w:sz w:val="20"/>
                <w:szCs w:val="20"/>
              </w:rPr>
              <w:t>(except the First Steps team)</w:t>
            </w:r>
            <w:r w:rsidR="00543026" w:rsidRPr="00F0112B">
              <w:rPr>
                <w:rFonts w:cstheme="minorHAnsi"/>
                <w:sz w:val="20"/>
                <w:szCs w:val="20"/>
              </w:rPr>
              <w:t xml:space="preserve">, laboratory staff, </w:t>
            </w:r>
            <w:r w:rsidR="00F0112B" w:rsidRPr="00F0112B">
              <w:rPr>
                <w:rFonts w:cstheme="minorHAnsi"/>
                <w:sz w:val="20"/>
                <w:szCs w:val="20"/>
              </w:rPr>
              <w:t>porters,</w:t>
            </w:r>
            <w:r w:rsidR="00543026" w:rsidRPr="00F0112B">
              <w:rPr>
                <w:rFonts w:cstheme="minorHAnsi"/>
                <w:sz w:val="20"/>
                <w:szCs w:val="20"/>
              </w:rPr>
              <w:t xml:space="preserve"> and domestics</w:t>
            </w:r>
            <w:r w:rsidR="002806A6">
              <w:rPr>
                <w:rFonts w:cstheme="minorHAnsi"/>
                <w:sz w:val="20"/>
                <w:szCs w:val="20"/>
              </w:rPr>
              <w:t>.</w:t>
            </w:r>
          </w:p>
        </w:tc>
        <w:tc>
          <w:tcPr>
            <w:tcW w:w="1134" w:type="dxa"/>
          </w:tcPr>
          <w:p w14:paraId="1CB47BBB" w14:textId="7F85B3F3" w:rsidR="005940D6" w:rsidRPr="00F0112B" w:rsidRDefault="00180068" w:rsidP="00A0260A">
            <w:pPr>
              <w:tabs>
                <w:tab w:val="left" w:pos="410"/>
                <w:tab w:val="center" w:pos="1286"/>
              </w:tabs>
              <w:spacing w:line="240" w:lineRule="auto"/>
              <w:jc w:val="center"/>
              <w:rPr>
                <w:rFonts w:cstheme="minorHAnsi"/>
                <w:sz w:val="20"/>
                <w:szCs w:val="20"/>
              </w:rPr>
            </w:pPr>
            <w:sdt>
              <w:sdtPr>
                <w:rPr>
                  <w:rFonts w:cstheme="minorHAnsi"/>
                  <w:sz w:val="20"/>
                  <w:szCs w:val="20"/>
                </w:rPr>
                <w:id w:val="181382338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52FB67BC" w14:textId="0F56FF03" w:rsidR="005940D6" w:rsidRPr="00F0112B" w:rsidRDefault="00180068" w:rsidP="00A0260A">
            <w:pPr>
              <w:spacing w:line="240" w:lineRule="auto"/>
              <w:jc w:val="center"/>
              <w:rPr>
                <w:rFonts w:cstheme="minorHAnsi"/>
                <w:sz w:val="20"/>
                <w:szCs w:val="20"/>
              </w:rPr>
            </w:pPr>
            <w:sdt>
              <w:sdtPr>
                <w:rPr>
                  <w:rFonts w:cstheme="minorHAnsi"/>
                  <w:sz w:val="20"/>
                  <w:szCs w:val="20"/>
                </w:rPr>
                <w:id w:val="-288052644"/>
                <w14:checkbox>
                  <w14:checked w14:val="0"/>
                  <w14:checkedState w14:val="2612" w14:font="MS Gothic"/>
                  <w14:uncheckedState w14:val="2610" w14:font="MS Gothic"/>
                </w14:checkbox>
              </w:sdtPr>
              <w:sdtEndPr/>
              <w:sdtContent>
                <w:r w:rsidR="00EE4244">
                  <w:rPr>
                    <w:rFonts w:ascii="MS Gothic" w:eastAsia="MS Gothic" w:hAnsi="MS Gothic" w:cstheme="minorHAnsi" w:hint="eastAsia"/>
                    <w:sz w:val="20"/>
                    <w:szCs w:val="20"/>
                  </w:rPr>
                  <w:t>☐</w:t>
                </w:r>
              </w:sdtContent>
            </w:sdt>
          </w:p>
        </w:tc>
        <w:tc>
          <w:tcPr>
            <w:tcW w:w="4678" w:type="dxa"/>
          </w:tcPr>
          <w:p w14:paraId="083A3D09" w14:textId="77777777" w:rsidR="005940D6" w:rsidRDefault="00F0112B" w:rsidP="00E11B4D">
            <w:pPr>
              <w:spacing w:line="240" w:lineRule="auto"/>
              <w:rPr>
                <w:rFonts w:cstheme="minorHAnsi"/>
                <w:sz w:val="20"/>
                <w:szCs w:val="20"/>
              </w:rPr>
            </w:pPr>
            <w:r w:rsidRPr="00F0112B">
              <w:rPr>
                <w:rFonts w:cstheme="minorHAnsi"/>
                <w:sz w:val="20"/>
                <w:szCs w:val="20"/>
              </w:rPr>
              <w:t>Low immun</w:t>
            </w:r>
            <w:r>
              <w:rPr>
                <w:rFonts w:cstheme="minorHAnsi"/>
                <w:sz w:val="20"/>
                <w:szCs w:val="20"/>
              </w:rPr>
              <w:t>ity due to conditions such as HIV infection, lupus, or drug treatment such as chemotherapy or high dose steroids, may make you vulnerable to some infections.</w:t>
            </w:r>
          </w:p>
          <w:p w14:paraId="2C0BF679" w14:textId="77777777" w:rsidR="002806A6" w:rsidRDefault="00F0112B" w:rsidP="00E11B4D">
            <w:pPr>
              <w:spacing w:after="0" w:line="240" w:lineRule="auto"/>
              <w:rPr>
                <w:rFonts w:cstheme="minorHAnsi"/>
                <w:color w:val="FF0000"/>
                <w:sz w:val="20"/>
                <w:szCs w:val="20"/>
              </w:rPr>
            </w:pPr>
            <w:r>
              <w:rPr>
                <w:rFonts w:cstheme="minorHAnsi"/>
                <w:color w:val="FF0000"/>
                <w:sz w:val="20"/>
                <w:szCs w:val="20"/>
              </w:rPr>
              <w:t>Candidates must declare if they:</w:t>
            </w:r>
          </w:p>
          <w:p w14:paraId="384628FF" w14:textId="24DC21DE" w:rsidR="00F0112B" w:rsidRPr="002806A6" w:rsidRDefault="0049084F" w:rsidP="00E11B4D">
            <w:pPr>
              <w:pStyle w:val="ListParagraph"/>
              <w:numPr>
                <w:ilvl w:val="0"/>
                <w:numId w:val="1"/>
              </w:numPr>
              <w:spacing w:after="0" w:line="240" w:lineRule="auto"/>
              <w:rPr>
                <w:rFonts w:cstheme="minorHAnsi"/>
                <w:sz w:val="20"/>
                <w:szCs w:val="20"/>
              </w:rPr>
            </w:pPr>
            <w:r w:rsidRPr="002806A6">
              <w:rPr>
                <w:rFonts w:cstheme="minorHAnsi"/>
                <w:sz w:val="20"/>
                <w:szCs w:val="20"/>
              </w:rPr>
              <w:t>Have a cough that has lasted more than 3 weeks</w:t>
            </w:r>
          </w:p>
          <w:p w14:paraId="4137CF73" w14:textId="77777777" w:rsidR="0049084F" w:rsidRDefault="0049084F" w:rsidP="00E11B4D">
            <w:pPr>
              <w:pStyle w:val="ListParagraph"/>
              <w:numPr>
                <w:ilvl w:val="0"/>
                <w:numId w:val="1"/>
              </w:numPr>
              <w:spacing w:line="240" w:lineRule="auto"/>
              <w:rPr>
                <w:rFonts w:cstheme="minorHAnsi"/>
                <w:sz w:val="20"/>
                <w:szCs w:val="20"/>
              </w:rPr>
            </w:pPr>
            <w:r>
              <w:rPr>
                <w:rFonts w:cstheme="minorHAnsi"/>
                <w:sz w:val="20"/>
                <w:szCs w:val="20"/>
              </w:rPr>
              <w:t>Have lost weight (not as part of a weight loss programme)</w:t>
            </w:r>
          </w:p>
          <w:p w14:paraId="1BF7BFE8" w14:textId="77777777" w:rsidR="0049084F" w:rsidRDefault="0049084F" w:rsidP="00E11B4D">
            <w:pPr>
              <w:pStyle w:val="ListParagraph"/>
              <w:numPr>
                <w:ilvl w:val="0"/>
                <w:numId w:val="1"/>
              </w:numPr>
              <w:spacing w:line="240" w:lineRule="auto"/>
              <w:rPr>
                <w:rFonts w:cstheme="minorHAnsi"/>
                <w:sz w:val="20"/>
                <w:szCs w:val="20"/>
              </w:rPr>
            </w:pPr>
            <w:r>
              <w:rPr>
                <w:rFonts w:cstheme="minorHAnsi"/>
                <w:sz w:val="20"/>
                <w:szCs w:val="20"/>
              </w:rPr>
              <w:t>Are coughing up blood</w:t>
            </w:r>
          </w:p>
          <w:p w14:paraId="238A02E0" w14:textId="138AAA4E" w:rsidR="0049084F" w:rsidRDefault="0049084F" w:rsidP="00E11B4D">
            <w:pPr>
              <w:pStyle w:val="ListParagraph"/>
              <w:numPr>
                <w:ilvl w:val="0"/>
                <w:numId w:val="1"/>
              </w:numPr>
              <w:spacing w:line="240" w:lineRule="auto"/>
              <w:rPr>
                <w:rFonts w:cstheme="minorHAnsi"/>
                <w:sz w:val="20"/>
                <w:szCs w:val="20"/>
              </w:rPr>
            </w:pPr>
            <w:r>
              <w:rPr>
                <w:rFonts w:cstheme="minorHAnsi"/>
                <w:sz w:val="20"/>
                <w:szCs w:val="20"/>
              </w:rPr>
              <w:t xml:space="preserve">Have </w:t>
            </w:r>
            <w:r w:rsidR="002806A6">
              <w:rPr>
                <w:rFonts w:cstheme="minorHAnsi"/>
                <w:sz w:val="20"/>
                <w:szCs w:val="20"/>
              </w:rPr>
              <w:t>night-time</w:t>
            </w:r>
            <w:r>
              <w:rPr>
                <w:rFonts w:cstheme="minorHAnsi"/>
                <w:sz w:val="20"/>
                <w:szCs w:val="20"/>
              </w:rPr>
              <w:t xml:space="preserve"> sweats</w:t>
            </w:r>
          </w:p>
          <w:p w14:paraId="29095D7C" w14:textId="77777777" w:rsidR="0049084F" w:rsidRDefault="0049084F" w:rsidP="00E11B4D">
            <w:pPr>
              <w:pStyle w:val="ListParagraph"/>
              <w:numPr>
                <w:ilvl w:val="0"/>
                <w:numId w:val="1"/>
              </w:numPr>
              <w:spacing w:line="240" w:lineRule="auto"/>
              <w:rPr>
                <w:rFonts w:cstheme="minorHAnsi"/>
                <w:sz w:val="20"/>
                <w:szCs w:val="20"/>
              </w:rPr>
            </w:pPr>
            <w:r>
              <w:rPr>
                <w:rFonts w:cstheme="minorHAnsi"/>
                <w:sz w:val="20"/>
                <w:szCs w:val="20"/>
              </w:rPr>
              <w:t>Have a fever associated with the above symptoms</w:t>
            </w:r>
          </w:p>
          <w:p w14:paraId="4DACBFA2" w14:textId="77777777" w:rsidR="0049084F" w:rsidRDefault="0049084F" w:rsidP="00E11B4D">
            <w:pPr>
              <w:pStyle w:val="ListParagraph"/>
              <w:numPr>
                <w:ilvl w:val="0"/>
                <w:numId w:val="1"/>
              </w:numPr>
              <w:spacing w:line="240" w:lineRule="auto"/>
              <w:rPr>
                <w:rFonts w:cstheme="minorHAnsi"/>
                <w:sz w:val="20"/>
                <w:szCs w:val="20"/>
              </w:rPr>
            </w:pPr>
            <w:r>
              <w:rPr>
                <w:rFonts w:cstheme="minorHAnsi"/>
                <w:sz w:val="20"/>
                <w:szCs w:val="20"/>
              </w:rPr>
              <w:t>Have a history/diagnosis of tuberculosis</w:t>
            </w:r>
          </w:p>
          <w:p w14:paraId="14A03874" w14:textId="77777777" w:rsidR="0049084F" w:rsidRDefault="0049084F" w:rsidP="00E11B4D">
            <w:pPr>
              <w:spacing w:after="0" w:line="240" w:lineRule="auto"/>
              <w:rPr>
                <w:rFonts w:cstheme="minorHAnsi"/>
                <w:color w:val="FF0000"/>
                <w:sz w:val="20"/>
                <w:szCs w:val="20"/>
              </w:rPr>
            </w:pPr>
            <w:r>
              <w:rPr>
                <w:rFonts w:cstheme="minorHAnsi"/>
                <w:color w:val="FF0000"/>
                <w:sz w:val="20"/>
                <w:szCs w:val="20"/>
              </w:rPr>
              <w:lastRenderedPageBreak/>
              <w:t>Candidates must declare if they are currently suffering from an infectious disease.</w:t>
            </w:r>
          </w:p>
          <w:p w14:paraId="6244D3BE" w14:textId="56F689FD" w:rsidR="0049084F" w:rsidRDefault="0049084F" w:rsidP="00E11B4D">
            <w:pPr>
              <w:spacing w:after="0" w:line="240" w:lineRule="auto"/>
              <w:rPr>
                <w:rFonts w:cstheme="minorHAnsi"/>
                <w:sz w:val="20"/>
                <w:szCs w:val="20"/>
              </w:rPr>
            </w:pPr>
            <w:r>
              <w:rPr>
                <w:rFonts w:cstheme="minorHAnsi"/>
                <w:sz w:val="20"/>
                <w:szCs w:val="20"/>
              </w:rPr>
              <w:t xml:space="preserve">EHW will contact candidates to discuss any current symptoms to determine the most </w:t>
            </w:r>
            <w:r w:rsidR="002806A6">
              <w:rPr>
                <w:rFonts w:cstheme="minorHAnsi"/>
                <w:sz w:val="20"/>
                <w:szCs w:val="20"/>
              </w:rPr>
              <w:t>appropriate action</w:t>
            </w:r>
            <w:r>
              <w:rPr>
                <w:rFonts w:cstheme="minorHAnsi"/>
                <w:sz w:val="20"/>
                <w:szCs w:val="20"/>
              </w:rPr>
              <w:t xml:space="preserve"> required</w:t>
            </w:r>
            <w:r w:rsidR="006135F6">
              <w:rPr>
                <w:rFonts w:cstheme="minorHAnsi"/>
                <w:sz w:val="20"/>
                <w:szCs w:val="20"/>
              </w:rPr>
              <w:t>.</w:t>
            </w:r>
          </w:p>
          <w:p w14:paraId="1C553A36" w14:textId="77777777" w:rsidR="002806A6" w:rsidRPr="00E11B4D" w:rsidRDefault="002806A6" w:rsidP="00E11B4D">
            <w:pPr>
              <w:spacing w:after="0" w:line="240" w:lineRule="auto"/>
              <w:rPr>
                <w:rFonts w:cstheme="minorHAnsi"/>
                <w:sz w:val="14"/>
                <w:szCs w:val="14"/>
              </w:rPr>
            </w:pPr>
          </w:p>
          <w:p w14:paraId="6557D6E0" w14:textId="77777777" w:rsidR="0049084F" w:rsidRDefault="0049084F" w:rsidP="00E11B4D">
            <w:pPr>
              <w:spacing w:after="0" w:line="240" w:lineRule="auto"/>
              <w:rPr>
                <w:rFonts w:cstheme="minorHAnsi"/>
                <w:color w:val="FF0000"/>
                <w:sz w:val="20"/>
                <w:szCs w:val="20"/>
              </w:rPr>
            </w:pPr>
            <w:r>
              <w:rPr>
                <w:rFonts w:cstheme="minorHAnsi"/>
                <w:color w:val="FF0000"/>
                <w:sz w:val="20"/>
                <w:szCs w:val="20"/>
              </w:rPr>
              <w:t>Candidates must declare if they:</w:t>
            </w:r>
          </w:p>
          <w:p w14:paraId="6391B56A" w14:textId="6E4B54BF" w:rsidR="0049084F" w:rsidRDefault="0049084F" w:rsidP="00E11B4D">
            <w:pPr>
              <w:pStyle w:val="ListParagraph"/>
              <w:numPr>
                <w:ilvl w:val="0"/>
                <w:numId w:val="2"/>
              </w:numPr>
              <w:spacing w:after="0" w:line="240" w:lineRule="auto"/>
              <w:rPr>
                <w:rFonts w:cstheme="minorHAnsi"/>
                <w:sz w:val="20"/>
                <w:szCs w:val="20"/>
              </w:rPr>
            </w:pPr>
            <w:r>
              <w:rPr>
                <w:rFonts w:cstheme="minorHAnsi"/>
                <w:sz w:val="20"/>
                <w:szCs w:val="20"/>
              </w:rPr>
              <w:t>Have lived in any of the countries in Appendix 1 in the last 5 years, or have lived abroad for more than 4 weeks in the last 12 months</w:t>
            </w:r>
          </w:p>
          <w:p w14:paraId="5AFF0744" w14:textId="7891F7C3" w:rsidR="002806A6" w:rsidRDefault="002806A6" w:rsidP="00E11B4D">
            <w:pPr>
              <w:pStyle w:val="ListParagraph"/>
              <w:numPr>
                <w:ilvl w:val="0"/>
                <w:numId w:val="2"/>
              </w:numPr>
              <w:spacing w:after="0" w:line="240" w:lineRule="auto"/>
              <w:rPr>
                <w:rFonts w:cstheme="minorHAnsi"/>
                <w:sz w:val="20"/>
                <w:szCs w:val="20"/>
              </w:rPr>
            </w:pPr>
            <w:r>
              <w:rPr>
                <w:rFonts w:cstheme="minorHAnsi"/>
                <w:sz w:val="20"/>
                <w:szCs w:val="20"/>
              </w:rPr>
              <w:t>Have a family member or close friend who have ever been diagnosed as having Tuberculosis (TB)</w:t>
            </w:r>
          </w:p>
          <w:p w14:paraId="11C776FC" w14:textId="300BFA7C" w:rsidR="00B23EDF" w:rsidRPr="00183A96" w:rsidRDefault="002806A6" w:rsidP="00E11B4D">
            <w:pPr>
              <w:pStyle w:val="ListParagraph"/>
              <w:numPr>
                <w:ilvl w:val="0"/>
                <w:numId w:val="2"/>
              </w:numPr>
              <w:spacing w:line="240" w:lineRule="auto"/>
              <w:rPr>
                <w:rFonts w:cstheme="minorHAnsi"/>
                <w:sz w:val="20"/>
                <w:szCs w:val="20"/>
              </w:rPr>
            </w:pPr>
            <w:r>
              <w:rPr>
                <w:rFonts w:cstheme="minorHAnsi"/>
                <w:sz w:val="20"/>
                <w:szCs w:val="20"/>
              </w:rPr>
              <w:t>That you have had any recent contact with TB</w:t>
            </w:r>
          </w:p>
        </w:tc>
        <w:tc>
          <w:tcPr>
            <w:tcW w:w="4252" w:type="dxa"/>
          </w:tcPr>
          <w:p w14:paraId="216B0D7A" w14:textId="77777777" w:rsidR="005940D6" w:rsidRDefault="002806A6" w:rsidP="00E11B4D">
            <w:pPr>
              <w:spacing w:line="240" w:lineRule="auto"/>
              <w:rPr>
                <w:rFonts w:cstheme="minorHAnsi"/>
                <w:sz w:val="20"/>
                <w:szCs w:val="20"/>
              </w:rPr>
            </w:pPr>
            <w:r>
              <w:rPr>
                <w:rFonts w:cstheme="minorHAnsi"/>
                <w:sz w:val="20"/>
                <w:szCs w:val="20"/>
              </w:rPr>
              <w:lastRenderedPageBreak/>
              <w:t>It is essential that all workers in these roles have immunity to Hepatitis B, measles, mumps, rubella, chicken pox and tuberculosis, and an annual flu vaccination and Covid-19 vaccination is strongly advised.</w:t>
            </w:r>
          </w:p>
          <w:p w14:paraId="645868D4" w14:textId="77777777" w:rsidR="002806A6" w:rsidRDefault="002806A6" w:rsidP="00E11B4D">
            <w:pPr>
              <w:spacing w:line="240" w:lineRule="auto"/>
              <w:rPr>
                <w:rFonts w:cstheme="minorHAnsi"/>
                <w:sz w:val="20"/>
                <w:szCs w:val="20"/>
              </w:rPr>
            </w:pPr>
            <w:r>
              <w:rPr>
                <w:rFonts w:cstheme="minorHAnsi"/>
                <w:sz w:val="20"/>
                <w:szCs w:val="20"/>
              </w:rPr>
              <w:t xml:space="preserve">Candidates will be required to provide validated evidence of their immunisation and vaccination status (these can usually be obtained from current or previous occupational health departments).   If a candidate cannot provide validated evidence, they will be required to attend the EHW Service, within the first 2 weeks </w:t>
            </w:r>
            <w:r>
              <w:rPr>
                <w:rFonts w:cstheme="minorHAnsi"/>
                <w:sz w:val="20"/>
                <w:szCs w:val="20"/>
              </w:rPr>
              <w:lastRenderedPageBreak/>
              <w:t>of joining the Trust for a blood test to determine immunity status.</w:t>
            </w:r>
          </w:p>
          <w:p w14:paraId="2C2C534D" w14:textId="6FD09980" w:rsidR="002806A6" w:rsidRPr="00F0112B" w:rsidRDefault="002806A6" w:rsidP="00E11B4D">
            <w:pPr>
              <w:spacing w:line="240" w:lineRule="auto"/>
              <w:rPr>
                <w:rFonts w:cstheme="minorHAnsi"/>
                <w:sz w:val="20"/>
                <w:szCs w:val="20"/>
              </w:rPr>
            </w:pPr>
            <w:r>
              <w:rPr>
                <w:rFonts w:cstheme="minorHAnsi"/>
                <w:sz w:val="20"/>
                <w:szCs w:val="20"/>
              </w:rPr>
              <w:t>EHW will a</w:t>
            </w:r>
            <w:r w:rsidR="006137CD">
              <w:rPr>
                <w:rFonts w:cstheme="minorHAnsi"/>
                <w:sz w:val="20"/>
                <w:szCs w:val="20"/>
              </w:rPr>
              <w:t>ss</w:t>
            </w:r>
            <w:r>
              <w:rPr>
                <w:rFonts w:cstheme="minorHAnsi"/>
                <w:sz w:val="20"/>
                <w:szCs w:val="20"/>
              </w:rPr>
              <w:t>ess whether further vaccinations or blood tests are required to protect the healthcare worker and the patient.</w:t>
            </w:r>
          </w:p>
        </w:tc>
      </w:tr>
      <w:tr w:rsidR="007A0D2F" w14:paraId="626777AA" w14:textId="77777777" w:rsidTr="00E8468B">
        <w:trPr>
          <w:trHeight w:hRule="exact" w:val="227"/>
          <w:jc w:val="center"/>
        </w:trPr>
        <w:tc>
          <w:tcPr>
            <w:tcW w:w="3256" w:type="dxa"/>
            <w:shd w:val="clear" w:color="auto" w:fill="4472C4" w:themeFill="accent1"/>
          </w:tcPr>
          <w:p w14:paraId="648F3919" w14:textId="435805CD" w:rsidR="007A0D2F" w:rsidRPr="00F0112B" w:rsidRDefault="007A0D2F" w:rsidP="00E11B4D">
            <w:pPr>
              <w:spacing w:line="240" w:lineRule="auto"/>
              <w:rPr>
                <w:rFonts w:cstheme="minorHAnsi"/>
                <w:sz w:val="20"/>
                <w:szCs w:val="20"/>
              </w:rPr>
            </w:pPr>
            <w:r w:rsidRPr="002806A6">
              <w:rPr>
                <w:b/>
                <w:bCs/>
                <w:sz w:val="16"/>
                <w:szCs w:val="16"/>
              </w:rPr>
              <w:lastRenderedPageBreak/>
              <w:t xml:space="preserve">Section </w:t>
            </w:r>
            <w:r>
              <w:rPr>
                <w:b/>
                <w:bCs/>
                <w:sz w:val="16"/>
                <w:szCs w:val="16"/>
              </w:rPr>
              <w:t>2</w:t>
            </w:r>
          </w:p>
        </w:tc>
        <w:tc>
          <w:tcPr>
            <w:tcW w:w="1134" w:type="dxa"/>
            <w:shd w:val="clear" w:color="auto" w:fill="4472C4" w:themeFill="accent1"/>
          </w:tcPr>
          <w:p w14:paraId="658E600D" w14:textId="7C4F6FE8" w:rsidR="007A0D2F" w:rsidRPr="00F0112B" w:rsidRDefault="007A0D2F" w:rsidP="00A0260A">
            <w:pPr>
              <w:spacing w:line="240" w:lineRule="auto"/>
              <w:jc w:val="center"/>
              <w:rPr>
                <w:rFonts w:cstheme="minorHAnsi"/>
                <w:sz w:val="20"/>
                <w:szCs w:val="20"/>
              </w:rPr>
            </w:pPr>
            <w:r w:rsidRPr="002806A6">
              <w:rPr>
                <w:b/>
                <w:bCs/>
                <w:sz w:val="16"/>
                <w:szCs w:val="16"/>
              </w:rPr>
              <w:t>Yes</w:t>
            </w:r>
          </w:p>
        </w:tc>
        <w:tc>
          <w:tcPr>
            <w:tcW w:w="992" w:type="dxa"/>
            <w:shd w:val="clear" w:color="auto" w:fill="4472C4" w:themeFill="accent1"/>
          </w:tcPr>
          <w:p w14:paraId="2207C91D" w14:textId="0E850548" w:rsidR="007A0D2F" w:rsidRPr="00F0112B" w:rsidRDefault="007A0D2F" w:rsidP="00A0260A">
            <w:pPr>
              <w:spacing w:line="240" w:lineRule="auto"/>
              <w:jc w:val="center"/>
              <w:rPr>
                <w:rFonts w:cstheme="minorHAnsi"/>
                <w:sz w:val="20"/>
                <w:szCs w:val="20"/>
              </w:rPr>
            </w:pPr>
            <w:r w:rsidRPr="002806A6">
              <w:rPr>
                <w:b/>
                <w:bCs/>
                <w:sz w:val="16"/>
                <w:szCs w:val="16"/>
              </w:rPr>
              <w:t>No</w:t>
            </w:r>
          </w:p>
        </w:tc>
        <w:tc>
          <w:tcPr>
            <w:tcW w:w="4678" w:type="dxa"/>
            <w:shd w:val="clear" w:color="auto" w:fill="4472C4" w:themeFill="accent1"/>
          </w:tcPr>
          <w:p w14:paraId="1FBB10B7"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667CF247" w14:textId="77777777" w:rsidR="007A0D2F" w:rsidRPr="00F0112B" w:rsidRDefault="007A0D2F" w:rsidP="00E11B4D">
            <w:pPr>
              <w:spacing w:line="240" w:lineRule="auto"/>
              <w:rPr>
                <w:rFonts w:cstheme="minorHAnsi"/>
                <w:sz w:val="20"/>
                <w:szCs w:val="20"/>
              </w:rPr>
            </w:pPr>
          </w:p>
        </w:tc>
      </w:tr>
      <w:tr w:rsidR="007A0D2F" w14:paraId="1EA2681F" w14:textId="77777777" w:rsidTr="00E8468B">
        <w:trPr>
          <w:jc w:val="center"/>
        </w:trPr>
        <w:tc>
          <w:tcPr>
            <w:tcW w:w="3256" w:type="dxa"/>
          </w:tcPr>
          <w:p w14:paraId="3666A7D9" w14:textId="343332B6" w:rsidR="007A0D2F" w:rsidRPr="007A0D2F" w:rsidRDefault="007A0D2F" w:rsidP="00E11B4D">
            <w:pPr>
              <w:spacing w:line="240" w:lineRule="auto"/>
              <w:rPr>
                <w:rFonts w:cstheme="minorHAnsi"/>
                <w:b/>
                <w:bCs/>
                <w:sz w:val="20"/>
                <w:szCs w:val="20"/>
              </w:rPr>
            </w:pPr>
            <w:r>
              <w:rPr>
                <w:rFonts w:cstheme="minorHAnsi"/>
                <w:b/>
                <w:bCs/>
                <w:sz w:val="20"/>
                <w:szCs w:val="20"/>
              </w:rPr>
              <w:t>Direct regular contact with high risk patients including immunosuppressed, pregnant women, neonates</w:t>
            </w:r>
          </w:p>
        </w:tc>
        <w:tc>
          <w:tcPr>
            <w:tcW w:w="1134" w:type="dxa"/>
          </w:tcPr>
          <w:p w14:paraId="1B4209AC" w14:textId="351FFFB9" w:rsidR="007A0D2F" w:rsidRPr="00F0112B" w:rsidRDefault="00180068" w:rsidP="00A0260A">
            <w:pPr>
              <w:spacing w:line="240" w:lineRule="auto"/>
              <w:jc w:val="center"/>
              <w:rPr>
                <w:rFonts w:cstheme="minorHAnsi"/>
                <w:sz w:val="20"/>
                <w:szCs w:val="20"/>
              </w:rPr>
            </w:pPr>
            <w:sdt>
              <w:sdtPr>
                <w:rPr>
                  <w:rFonts w:cstheme="minorHAnsi"/>
                  <w:sz w:val="20"/>
                  <w:szCs w:val="20"/>
                </w:rPr>
                <w:id w:val="-67897135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4F79DD28" w14:textId="5B8948C1" w:rsidR="007A0D2F" w:rsidRPr="00F0112B" w:rsidRDefault="00180068" w:rsidP="00A0260A">
            <w:pPr>
              <w:spacing w:line="240" w:lineRule="auto"/>
              <w:jc w:val="center"/>
              <w:rPr>
                <w:rFonts w:cstheme="minorHAnsi"/>
                <w:sz w:val="20"/>
                <w:szCs w:val="20"/>
              </w:rPr>
            </w:pPr>
            <w:sdt>
              <w:sdtPr>
                <w:rPr>
                  <w:rFonts w:cstheme="minorHAnsi"/>
                  <w:sz w:val="20"/>
                  <w:szCs w:val="20"/>
                </w:rPr>
                <w:id w:val="-1545830915"/>
                <w14:checkbox>
                  <w14:checked w14:val="0"/>
                  <w14:checkedState w14:val="2612" w14:font="MS Gothic"/>
                  <w14:uncheckedState w14:val="2610" w14:font="MS Gothic"/>
                </w14:checkbox>
              </w:sdtPr>
              <w:sdtEndPr/>
              <w:sdtContent>
                <w:r w:rsidR="00A0260A">
                  <w:rPr>
                    <w:rFonts w:ascii="MS Gothic" w:eastAsia="MS Gothic" w:hAnsi="MS Gothic" w:cstheme="minorHAnsi" w:hint="eastAsia"/>
                    <w:sz w:val="20"/>
                    <w:szCs w:val="20"/>
                  </w:rPr>
                  <w:t>☐</w:t>
                </w:r>
              </w:sdtContent>
            </w:sdt>
          </w:p>
        </w:tc>
        <w:tc>
          <w:tcPr>
            <w:tcW w:w="4678" w:type="dxa"/>
          </w:tcPr>
          <w:p w14:paraId="112620ED" w14:textId="5D503A0B" w:rsidR="00B23EDF" w:rsidRPr="00183A96" w:rsidRDefault="007A0D2F" w:rsidP="00E11B4D">
            <w:pPr>
              <w:spacing w:line="240" w:lineRule="auto"/>
              <w:rPr>
                <w:rFonts w:cstheme="minorHAnsi"/>
                <w:sz w:val="20"/>
                <w:szCs w:val="20"/>
              </w:rPr>
            </w:pPr>
            <w:r>
              <w:rPr>
                <w:rFonts w:cstheme="minorHAnsi"/>
                <w:sz w:val="20"/>
                <w:szCs w:val="20"/>
              </w:rPr>
              <w:t>High risk patients require a higher level of protection against infectious diseases.  Staff working with this patient group must comply with immunity requirements or may need restrictions on work or redeployment</w:t>
            </w:r>
            <w:r w:rsidR="006135F6">
              <w:rPr>
                <w:rFonts w:cstheme="minorHAnsi"/>
                <w:sz w:val="20"/>
                <w:szCs w:val="20"/>
              </w:rPr>
              <w:t>.</w:t>
            </w:r>
          </w:p>
        </w:tc>
        <w:tc>
          <w:tcPr>
            <w:tcW w:w="4252" w:type="dxa"/>
          </w:tcPr>
          <w:p w14:paraId="7EC9CBF5" w14:textId="77777777" w:rsidR="007A0D2F" w:rsidRPr="00F0112B" w:rsidRDefault="007A0D2F" w:rsidP="00E11B4D">
            <w:pPr>
              <w:spacing w:line="240" w:lineRule="auto"/>
              <w:rPr>
                <w:rFonts w:cstheme="minorHAnsi"/>
                <w:sz w:val="20"/>
                <w:szCs w:val="20"/>
              </w:rPr>
            </w:pPr>
          </w:p>
        </w:tc>
      </w:tr>
      <w:tr w:rsidR="007A0D2F" w14:paraId="346DC95E" w14:textId="77777777" w:rsidTr="00E8468B">
        <w:trPr>
          <w:trHeight w:hRule="exact" w:val="227"/>
          <w:jc w:val="center"/>
        </w:trPr>
        <w:tc>
          <w:tcPr>
            <w:tcW w:w="3256" w:type="dxa"/>
            <w:shd w:val="clear" w:color="auto" w:fill="4472C4" w:themeFill="accent1"/>
          </w:tcPr>
          <w:p w14:paraId="57813950" w14:textId="3DE4BC54" w:rsidR="007A0D2F" w:rsidRPr="00F0112B" w:rsidRDefault="007A0D2F" w:rsidP="00E11B4D">
            <w:pPr>
              <w:spacing w:line="240" w:lineRule="auto"/>
              <w:rPr>
                <w:rFonts w:cstheme="minorHAnsi"/>
                <w:sz w:val="20"/>
                <w:szCs w:val="20"/>
              </w:rPr>
            </w:pPr>
            <w:r w:rsidRPr="002806A6">
              <w:rPr>
                <w:b/>
                <w:bCs/>
                <w:sz w:val="16"/>
                <w:szCs w:val="16"/>
              </w:rPr>
              <w:t xml:space="preserve">Section </w:t>
            </w:r>
            <w:r>
              <w:rPr>
                <w:b/>
                <w:bCs/>
                <w:sz w:val="16"/>
                <w:szCs w:val="16"/>
              </w:rPr>
              <w:t>3</w:t>
            </w:r>
          </w:p>
        </w:tc>
        <w:tc>
          <w:tcPr>
            <w:tcW w:w="1134" w:type="dxa"/>
            <w:shd w:val="clear" w:color="auto" w:fill="4472C4" w:themeFill="accent1"/>
          </w:tcPr>
          <w:p w14:paraId="138099EB" w14:textId="697D0889" w:rsidR="007A0D2F" w:rsidRPr="00F0112B" w:rsidRDefault="007A0D2F" w:rsidP="00A0260A">
            <w:pPr>
              <w:spacing w:line="240" w:lineRule="auto"/>
              <w:jc w:val="center"/>
              <w:rPr>
                <w:rFonts w:cstheme="minorHAnsi"/>
                <w:sz w:val="20"/>
                <w:szCs w:val="20"/>
              </w:rPr>
            </w:pPr>
            <w:r w:rsidRPr="002806A6">
              <w:rPr>
                <w:b/>
                <w:bCs/>
                <w:sz w:val="16"/>
                <w:szCs w:val="16"/>
              </w:rPr>
              <w:t>Yes</w:t>
            </w:r>
          </w:p>
        </w:tc>
        <w:tc>
          <w:tcPr>
            <w:tcW w:w="992" w:type="dxa"/>
            <w:shd w:val="clear" w:color="auto" w:fill="4472C4" w:themeFill="accent1"/>
          </w:tcPr>
          <w:p w14:paraId="479D7668" w14:textId="7CBD54B2" w:rsidR="007A0D2F" w:rsidRPr="00F0112B" w:rsidRDefault="007A0D2F" w:rsidP="00A0260A">
            <w:pPr>
              <w:spacing w:line="240" w:lineRule="auto"/>
              <w:jc w:val="center"/>
              <w:rPr>
                <w:rFonts w:cstheme="minorHAnsi"/>
                <w:sz w:val="20"/>
                <w:szCs w:val="20"/>
              </w:rPr>
            </w:pPr>
            <w:r w:rsidRPr="002806A6">
              <w:rPr>
                <w:b/>
                <w:bCs/>
                <w:sz w:val="16"/>
                <w:szCs w:val="16"/>
              </w:rPr>
              <w:t>No</w:t>
            </w:r>
          </w:p>
        </w:tc>
        <w:tc>
          <w:tcPr>
            <w:tcW w:w="4678" w:type="dxa"/>
            <w:shd w:val="clear" w:color="auto" w:fill="4472C4" w:themeFill="accent1"/>
          </w:tcPr>
          <w:p w14:paraId="7ED449CC"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31200508" w14:textId="77777777" w:rsidR="007A0D2F" w:rsidRPr="00F0112B" w:rsidRDefault="007A0D2F" w:rsidP="00E11B4D">
            <w:pPr>
              <w:spacing w:line="240" w:lineRule="auto"/>
              <w:rPr>
                <w:rFonts w:cstheme="minorHAnsi"/>
                <w:sz w:val="20"/>
                <w:szCs w:val="20"/>
              </w:rPr>
            </w:pPr>
          </w:p>
        </w:tc>
      </w:tr>
      <w:tr w:rsidR="007A0D2F" w14:paraId="7D44F69A" w14:textId="77777777" w:rsidTr="00934B5F">
        <w:trPr>
          <w:trHeight w:val="473"/>
          <w:jc w:val="center"/>
        </w:trPr>
        <w:tc>
          <w:tcPr>
            <w:tcW w:w="3256" w:type="dxa"/>
          </w:tcPr>
          <w:p w14:paraId="4A94F945" w14:textId="77777777" w:rsidR="00F24995" w:rsidRDefault="007A0D2F" w:rsidP="00E11B4D">
            <w:pPr>
              <w:spacing w:line="240" w:lineRule="auto"/>
              <w:rPr>
                <w:b/>
                <w:bCs/>
                <w:sz w:val="20"/>
                <w:szCs w:val="20"/>
              </w:rPr>
            </w:pPr>
            <w:r>
              <w:rPr>
                <w:b/>
                <w:bCs/>
                <w:sz w:val="20"/>
                <w:szCs w:val="20"/>
              </w:rPr>
              <w:t>Undertaking *Exposure Prone Procedures (EPP) such as work in operating theatres, or trauma within ED</w:t>
            </w:r>
            <w:r w:rsidR="006135F6">
              <w:rPr>
                <w:b/>
                <w:bCs/>
                <w:sz w:val="20"/>
                <w:szCs w:val="20"/>
              </w:rPr>
              <w:t>.  All surgeons (including FY1 and FY2 doctors with a rotation into one of the EPP areas), dental staff, some theatre roles, midwives, and some ED roles</w:t>
            </w:r>
          </w:p>
          <w:p w14:paraId="1C02D680" w14:textId="3DAF5BAD" w:rsidR="006135F6" w:rsidRDefault="00F24995" w:rsidP="00E11B4D">
            <w:pPr>
              <w:spacing w:line="240" w:lineRule="auto"/>
              <w:rPr>
                <w:sz w:val="20"/>
                <w:szCs w:val="20"/>
              </w:rPr>
            </w:pPr>
            <w:r>
              <w:rPr>
                <w:sz w:val="20"/>
                <w:szCs w:val="20"/>
              </w:rPr>
              <w:t>T</w:t>
            </w:r>
            <w:r w:rsidR="006135F6" w:rsidRPr="006135F6">
              <w:rPr>
                <w:sz w:val="20"/>
                <w:szCs w:val="20"/>
              </w:rPr>
              <w:t>his does not apply to healthcare assistan</w:t>
            </w:r>
            <w:r w:rsidR="004D4593">
              <w:rPr>
                <w:sz w:val="20"/>
                <w:szCs w:val="20"/>
              </w:rPr>
              <w:t>ts</w:t>
            </w:r>
            <w:r w:rsidR="006135F6" w:rsidRPr="006135F6">
              <w:rPr>
                <w:sz w:val="20"/>
                <w:szCs w:val="20"/>
              </w:rPr>
              <w:t xml:space="preserve"> and allied health professionals.</w:t>
            </w:r>
          </w:p>
          <w:p w14:paraId="1E4C09EC" w14:textId="371AF4D9" w:rsidR="006135F6" w:rsidRPr="006135F6" w:rsidRDefault="006135F6" w:rsidP="00E11B4D">
            <w:pPr>
              <w:spacing w:line="240" w:lineRule="auto"/>
              <w:rPr>
                <w:b/>
                <w:bCs/>
                <w:i/>
                <w:iCs/>
                <w:sz w:val="20"/>
                <w:szCs w:val="20"/>
              </w:rPr>
            </w:pPr>
            <w:r>
              <w:rPr>
                <w:b/>
                <w:bCs/>
                <w:i/>
                <w:iCs/>
                <w:sz w:val="20"/>
                <w:szCs w:val="20"/>
              </w:rPr>
              <w:t>Procedures such as venepuncture or cannulation are not classified as EPP</w:t>
            </w:r>
          </w:p>
        </w:tc>
        <w:tc>
          <w:tcPr>
            <w:tcW w:w="1134" w:type="dxa"/>
          </w:tcPr>
          <w:p w14:paraId="6625760D" w14:textId="6AF06AD8" w:rsidR="007A0D2F" w:rsidRPr="002806A6" w:rsidRDefault="00180068" w:rsidP="00A0260A">
            <w:pPr>
              <w:spacing w:line="240" w:lineRule="auto"/>
              <w:jc w:val="center"/>
              <w:rPr>
                <w:b/>
                <w:bCs/>
                <w:sz w:val="16"/>
                <w:szCs w:val="16"/>
              </w:rPr>
            </w:pPr>
            <w:sdt>
              <w:sdtPr>
                <w:rPr>
                  <w:rFonts w:cstheme="minorHAnsi"/>
                  <w:sz w:val="20"/>
                  <w:szCs w:val="20"/>
                </w:rPr>
                <w:id w:val="1619729683"/>
                <w14:checkbox>
                  <w14:checked w14:val="0"/>
                  <w14:checkedState w14:val="2612" w14:font="MS Gothic"/>
                  <w14:uncheckedState w14:val="2610" w14:font="MS Gothic"/>
                </w14:checkbox>
              </w:sdtPr>
              <w:sdtEndPr/>
              <w:sdtContent>
                <w:r w:rsidR="00A0260A">
                  <w:rPr>
                    <w:rFonts w:ascii="MS Gothic" w:eastAsia="MS Gothic" w:hAnsi="MS Gothic" w:cstheme="minorHAnsi" w:hint="eastAsia"/>
                    <w:sz w:val="20"/>
                    <w:szCs w:val="20"/>
                  </w:rPr>
                  <w:t>☐</w:t>
                </w:r>
              </w:sdtContent>
            </w:sdt>
          </w:p>
        </w:tc>
        <w:tc>
          <w:tcPr>
            <w:tcW w:w="992" w:type="dxa"/>
          </w:tcPr>
          <w:p w14:paraId="462ED053" w14:textId="13C12A64" w:rsidR="007A0D2F" w:rsidRPr="002806A6" w:rsidRDefault="00180068" w:rsidP="00A0260A">
            <w:pPr>
              <w:spacing w:line="240" w:lineRule="auto"/>
              <w:jc w:val="center"/>
              <w:rPr>
                <w:b/>
                <w:bCs/>
                <w:sz w:val="16"/>
                <w:szCs w:val="16"/>
              </w:rPr>
            </w:pPr>
            <w:sdt>
              <w:sdtPr>
                <w:rPr>
                  <w:rFonts w:cstheme="minorHAnsi"/>
                  <w:sz w:val="20"/>
                  <w:szCs w:val="20"/>
                </w:rPr>
                <w:id w:val="-157681864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4678" w:type="dxa"/>
          </w:tcPr>
          <w:p w14:paraId="7E568070" w14:textId="5A3B25B1" w:rsidR="007A0D2F" w:rsidRDefault="007A0D2F" w:rsidP="00E11B4D">
            <w:pPr>
              <w:spacing w:line="240" w:lineRule="auto"/>
              <w:rPr>
                <w:rFonts w:cstheme="minorHAnsi"/>
                <w:sz w:val="20"/>
                <w:szCs w:val="20"/>
              </w:rPr>
            </w:pPr>
            <w:r>
              <w:rPr>
                <w:rFonts w:cstheme="minorHAnsi"/>
                <w:sz w:val="20"/>
                <w:szCs w:val="20"/>
              </w:rPr>
              <w:t xml:space="preserve">Workers with a blood borne virus (BBV) such as Hepatitis B or C infection or HIV may be able to perform EPP under certain </w:t>
            </w:r>
            <w:r w:rsidR="006135F6">
              <w:rPr>
                <w:rFonts w:cstheme="minorHAnsi"/>
                <w:sz w:val="20"/>
                <w:szCs w:val="20"/>
              </w:rPr>
              <w:t>circumstances.</w:t>
            </w:r>
          </w:p>
          <w:p w14:paraId="3B67F1A4" w14:textId="77777777" w:rsidR="006135F6" w:rsidRDefault="006135F6" w:rsidP="00E11B4D">
            <w:pPr>
              <w:spacing w:line="240" w:lineRule="auto"/>
              <w:rPr>
                <w:rFonts w:cstheme="minorHAnsi"/>
                <w:sz w:val="20"/>
                <w:szCs w:val="20"/>
              </w:rPr>
            </w:pPr>
            <w:r>
              <w:rPr>
                <w:rFonts w:cstheme="minorHAnsi"/>
                <w:b/>
                <w:bCs/>
                <w:sz w:val="20"/>
                <w:szCs w:val="20"/>
              </w:rPr>
              <w:t xml:space="preserve">*Exposure Prone Procedures (EPP) </w:t>
            </w:r>
            <w:r>
              <w:rPr>
                <w:rFonts w:cstheme="minorHAnsi"/>
                <w:sz w:val="20"/>
                <w:szCs w:val="20"/>
              </w:rPr>
              <w:t>are those where there is a risk that injury to the worker may result in exposure of the patient’s open tissue to the blood of the worker.  These procedures include those where the worker’s gloved hands may be in contact with sharp instruments, needle tips, or sharp tissues (bone, teeth) inside a patient’s open cavity, wound or confined anatomical space where the hands or fingertips may not be completely visible at all times</w:t>
            </w:r>
          </w:p>
          <w:p w14:paraId="0CFAE6CF" w14:textId="7D67B9D8" w:rsidR="00B23EDF" w:rsidRPr="00B23EDF" w:rsidRDefault="00B23EDF" w:rsidP="00E11B4D">
            <w:pPr>
              <w:spacing w:line="240" w:lineRule="auto"/>
              <w:rPr>
                <w:rFonts w:cstheme="minorHAnsi"/>
                <w:i/>
                <w:iCs/>
                <w:sz w:val="20"/>
                <w:szCs w:val="20"/>
              </w:rPr>
            </w:pPr>
            <w:r w:rsidRPr="00B23EDF">
              <w:rPr>
                <w:rFonts w:cstheme="minorHAnsi"/>
                <w:i/>
                <w:iCs/>
                <w:sz w:val="20"/>
                <w:szCs w:val="20"/>
              </w:rPr>
              <w:t>*As defined in the Green Book</w:t>
            </w:r>
          </w:p>
        </w:tc>
        <w:tc>
          <w:tcPr>
            <w:tcW w:w="4252" w:type="dxa"/>
          </w:tcPr>
          <w:p w14:paraId="6432D354" w14:textId="77777777" w:rsidR="007A0D2F" w:rsidRDefault="007A0D2F" w:rsidP="00E11B4D">
            <w:pPr>
              <w:spacing w:line="240" w:lineRule="auto"/>
              <w:rPr>
                <w:rFonts w:cstheme="minorHAnsi"/>
                <w:sz w:val="20"/>
                <w:szCs w:val="20"/>
              </w:rPr>
            </w:pPr>
            <w:r>
              <w:rPr>
                <w:rFonts w:cstheme="minorHAnsi"/>
                <w:sz w:val="20"/>
                <w:szCs w:val="20"/>
              </w:rPr>
              <w:t>Candidates new to EPP work must attend the EHW service to determine their BBV status prior to commencing work at the Trust.</w:t>
            </w:r>
          </w:p>
          <w:p w14:paraId="4936C192" w14:textId="77777777" w:rsidR="007A0D2F" w:rsidRDefault="007A0D2F" w:rsidP="00E11B4D">
            <w:pPr>
              <w:spacing w:line="240" w:lineRule="auto"/>
              <w:rPr>
                <w:rFonts w:cstheme="minorHAnsi"/>
                <w:sz w:val="20"/>
                <w:szCs w:val="20"/>
              </w:rPr>
            </w:pPr>
            <w:r>
              <w:rPr>
                <w:rFonts w:cstheme="minorHAnsi"/>
                <w:sz w:val="20"/>
                <w:szCs w:val="20"/>
              </w:rPr>
              <w:t>Candidates who have previously worked in an EPP role must provide validated evidence of HICE, Hepatitis C and Hepatitis B status prior to commencing work at the Trust.  If a candidate cannot provide validated evidence, they will be required to attend the EHW Service for a blood test to determine immunity status.</w:t>
            </w:r>
          </w:p>
          <w:p w14:paraId="107540D5" w14:textId="221DFAE4" w:rsidR="007A0D2F" w:rsidRPr="00F0112B" w:rsidRDefault="007A0D2F" w:rsidP="00E11B4D">
            <w:pPr>
              <w:spacing w:line="240" w:lineRule="auto"/>
              <w:rPr>
                <w:rFonts w:cstheme="minorHAnsi"/>
                <w:sz w:val="20"/>
                <w:szCs w:val="20"/>
              </w:rPr>
            </w:pPr>
            <w:r>
              <w:rPr>
                <w:rFonts w:cstheme="minorHAnsi"/>
                <w:sz w:val="20"/>
                <w:szCs w:val="20"/>
              </w:rPr>
              <w:t xml:space="preserve">All healthcare workers who are infecting with a BBV have a legal and ethical duty to inform EHW </w:t>
            </w:r>
            <w:r w:rsidR="002D1E97">
              <w:rPr>
                <w:rFonts w:cstheme="minorHAnsi"/>
                <w:sz w:val="20"/>
                <w:szCs w:val="20"/>
              </w:rPr>
              <w:lastRenderedPageBreak/>
              <w:t>i</w:t>
            </w:r>
            <w:r>
              <w:rPr>
                <w:rFonts w:cstheme="minorHAnsi"/>
                <w:sz w:val="20"/>
                <w:szCs w:val="20"/>
              </w:rPr>
              <w:t>n strictest confidence.  Adjustments for EPP workers may be required</w:t>
            </w:r>
            <w:r w:rsidR="006135F6">
              <w:rPr>
                <w:rFonts w:cstheme="minorHAnsi"/>
                <w:sz w:val="20"/>
                <w:szCs w:val="20"/>
              </w:rPr>
              <w:t>.</w:t>
            </w:r>
          </w:p>
        </w:tc>
      </w:tr>
      <w:tr w:rsidR="007A0D2F" w14:paraId="6178212F" w14:textId="77777777" w:rsidTr="00E8468B">
        <w:trPr>
          <w:trHeight w:hRule="exact" w:val="227"/>
          <w:jc w:val="center"/>
        </w:trPr>
        <w:tc>
          <w:tcPr>
            <w:tcW w:w="3256" w:type="dxa"/>
            <w:shd w:val="clear" w:color="auto" w:fill="4472C4" w:themeFill="accent1"/>
          </w:tcPr>
          <w:p w14:paraId="7B672D9E" w14:textId="050A2FF2" w:rsidR="007A0D2F" w:rsidRPr="002806A6" w:rsidRDefault="007A0D2F" w:rsidP="00E11B4D">
            <w:pPr>
              <w:spacing w:line="240" w:lineRule="auto"/>
              <w:rPr>
                <w:b/>
                <w:bCs/>
                <w:sz w:val="16"/>
                <w:szCs w:val="16"/>
              </w:rPr>
            </w:pPr>
            <w:r w:rsidRPr="002806A6">
              <w:rPr>
                <w:b/>
                <w:bCs/>
                <w:sz w:val="16"/>
                <w:szCs w:val="16"/>
              </w:rPr>
              <w:lastRenderedPageBreak/>
              <w:t xml:space="preserve">Section </w:t>
            </w:r>
            <w:r w:rsidR="001347C9">
              <w:rPr>
                <w:b/>
                <w:bCs/>
                <w:sz w:val="16"/>
                <w:szCs w:val="16"/>
              </w:rPr>
              <w:t>4</w:t>
            </w:r>
          </w:p>
        </w:tc>
        <w:tc>
          <w:tcPr>
            <w:tcW w:w="1134" w:type="dxa"/>
            <w:shd w:val="clear" w:color="auto" w:fill="4472C4" w:themeFill="accent1"/>
          </w:tcPr>
          <w:p w14:paraId="404DF512" w14:textId="1B87FD91"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09BF7F98" w14:textId="4B17617E"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128EABB6"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065E0F28" w14:textId="77777777" w:rsidR="007A0D2F" w:rsidRPr="00F0112B" w:rsidRDefault="007A0D2F" w:rsidP="00E11B4D">
            <w:pPr>
              <w:spacing w:line="240" w:lineRule="auto"/>
              <w:rPr>
                <w:rFonts w:cstheme="minorHAnsi"/>
                <w:sz w:val="20"/>
                <w:szCs w:val="20"/>
              </w:rPr>
            </w:pPr>
          </w:p>
        </w:tc>
      </w:tr>
      <w:tr w:rsidR="007A0D2F" w14:paraId="4AF315BA" w14:textId="77777777" w:rsidTr="00E8468B">
        <w:trPr>
          <w:trHeight w:val="1324"/>
          <w:jc w:val="center"/>
        </w:trPr>
        <w:tc>
          <w:tcPr>
            <w:tcW w:w="3256" w:type="dxa"/>
          </w:tcPr>
          <w:p w14:paraId="604EDEA0" w14:textId="2690DEDB" w:rsidR="007A0D2F" w:rsidRDefault="00F24995" w:rsidP="00E11B4D">
            <w:pPr>
              <w:spacing w:line="240" w:lineRule="auto"/>
              <w:rPr>
                <w:b/>
                <w:bCs/>
                <w:sz w:val="20"/>
                <w:szCs w:val="20"/>
              </w:rPr>
            </w:pPr>
            <w:r>
              <w:rPr>
                <w:b/>
                <w:bCs/>
                <w:sz w:val="20"/>
                <w:szCs w:val="20"/>
              </w:rPr>
              <w:t xml:space="preserve">Ability to undertake generally physically demanding work including regularly moving/handling patients, </w:t>
            </w:r>
            <w:r w:rsidR="00C571CF">
              <w:rPr>
                <w:b/>
                <w:bCs/>
                <w:sz w:val="20"/>
                <w:szCs w:val="20"/>
              </w:rPr>
              <w:t>lifting,</w:t>
            </w:r>
            <w:r>
              <w:rPr>
                <w:b/>
                <w:bCs/>
                <w:sz w:val="20"/>
                <w:szCs w:val="20"/>
              </w:rPr>
              <w:t xml:space="preserve"> or moving loads &gt;5kg, frequent walking (or running in an emergency) or prolonged standing.</w:t>
            </w:r>
          </w:p>
          <w:p w14:paraId="0430AC42" w14:textId="268F37DC" w:rsidR="00F24995" w:rsidRPr="00F24995" w:rsidRDefault="00F24995" w:rsidP="00E11B4D">
            <w:pPr>
              <w:spacing w:line="240" w:lineRule="auto"/>
              <w:rPr>
                <w:sz w:val="20"/>
                <w:szCs w:val="20"/>
              </w:rPr>
            </w:pPr>
            <w:r>
              <w:rPr>
                <w:sz w:val="20"/>
                <w:szCs w:val="20"/>
              </w:rPr>
              <w:t xml:space="preserve">This job may require regular pushing, pulling, lifting, and carrying of heavy loads such as patients, trolleys, </w:t>
            </w:r>
            <w:r w:rsidR="00C571CF">
              <w:rPr>
                <w:sz w:val="20"/>
                <w:szCs w:val="20"/>
              </w:rPr>
              <w:t>equipment,</w:t>
            </w:r>
            <w:r>
              <w:rPr>
                <w:sz w:val="20"/>
                <w:szCs w:val="20"/>
              </w:rPr>
              <w:t xml:space="preserve"> and materials or wearing a lead apron, travelling across the hospital.</w:t>
            </w:r>
          </w:p>
        </w:tc>
        <w:tc>
          <w:tcPr>
            <w:tcW w:w="1134" w:type="dxa"/>
          </w:tcPr>
          <w:p w14:paraId="5A4D1BD8" w14:textId="045EE355" w:rsidR="007A0D2F" w:rsidRPr="002806A6" w:rsidRDefault="00180068" w:rsidP="00A0260A">
            <w:pPr>
              <w:spacing w:line="240" w:lineRule="auto"/>
              <w:jc w:val="center"/>
              <w:rPr>
                <w:b/>
                <w:bCs/>
                <w:sz w:val="16"/>
                <w:szCs w:val="16"/>
              </w:rPr>
            </w:pPr>
            <w:sdt>
              <w:sdtPr>
                <w:rPr>
                  <w:rFonts w:cstheme="minorHAnsi"/>
                  <w:sz w:val="20"/>
                  <w:szCs w:val="20"/>
                </w:rPr>
                <w:id w:val="-136697905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5B8E3E8B" w14:textId="77777777" w:rsidR="007A0D2F" w:rsidRDefault="00180068" w:rsidP="00A0260A">
            <w:pPr>
              <w:spacing w:line="240" w:lineRule="auto"/>
              <w:jc w:val="center"/>
              <w:rPr>
                <w:rFonts w:ascii="Segoe UI Symbol" w:eastAsia="MS Gothic" w:hAnsi="Segoe UI Symbol" w:cs="Segoe UI Symbol"/>
                <w:sz w:val="20"/>
                <w:szCs w:val="20"/>
              </w:rPr>
            </w:pPr>
            <w:sdt>
              <w:sdtPr>
                <w:rPr>
                  <w:rFonts w:cstheme="minorHAnsi"/>
                  <w:sz w:val="20"/>
                  <w:szCs w:val="20"/>
                </w:rPr>
                <w:id w:val="1814368164"/>
                <w14:checkbox>
                  <w14:checked w14:val="0"/>
                  <w14:checkedState w14:val="2612" w14:font="MS Gothic"/>
                  <w14:uncheckedState w14:val="2610" w14:font="MS Gothic"/>
                </w14:checkbox>
              </w:sdtPr>
              <w:sdtEndPr/>
              <w:sdtContent>
                <w:r w:rsidR="007A0D2F" w:rsidRPr="00F0112B">
                  <w:rPr>
                    <w:rFonts w:ascii="Segoe UI Symbol" w:eastAsia="MS Gothic" w:hAnsi="Segoe UI Symbol" w:cs="Segoe UI Symbol"/>
                    <w:sz w:val="20"/>
                    <w:szCs w:val="20"/>
                  </w:rPr>
                  <w:t>☐</w:t>
                </w:r>
              </w:sdtContent>
            </w:sdt>
          </w:p>
          <w:p w14:paraId="21BAD518" w14:textId="77777777" w:rsidR="00D96256" w:rsidRPr="00D96256" w:rsidRDefault="00D96256" w:rsidP="00A0260A">
            <w:pPr>
              <w:jc w:val="center"/>
              <w:rPr>
                <w:sz w:val="16"/>
                <w:szCs w:val="16"/>
              </w:rPr>
            </w:pPr>
          </w:p>
          <w:p w14:paraId="32931951" w14:textId="77777777" w:rsidR="00D96256" w:rsidRPr="00D96256" w:rsidRDefault="00D96256" w:rsidP="00A0260A">
            <w:pPr>
              <w:jc w:val="center"/>
              <w:rPr>
                <w:sz w:val="16"/>
                <w:szCs w:val="16"/>
              </w:rPr>
            </w:pPr>
          </w:p>
          <w:p w14:paraId="1F3C45E9" w14:textId="77777777" w:rsidR="00D96256" w:rsidRPr="00D96256" w:rsidRDefault="00D96256" w:rsidP="00A0260A">
            <w:pPr>
              <w:jc w:val="center"/>
              <w:rPr>
                <w:sz w:val="16"/>
                <w:szCs w:val="16"/>
              </w:rPr>
            </w:pPr>
          </w:p>
          <w:p w14:paraId="10A16112" w14:textId="77777777" w:rsidR="00D96256" w:rsidRPr="00D96256" w:rsidRDefault="00D96256" w:rsidP="00A0260A">
            <w:pPr>
              <w:jc w:val="center"/>
              <w:rPr>
                <w:sz w:val="16"/>
                <w:szCs w:val="16"/>
              </w:rPr>
            </w:pPr>
          </w:p>
          <w:p w14:paraId="4B5ADF48" w14:textId="7834989B" w:rsidR="00D96256" w:rsidRDefault="00D96256" w:rsidP="00A0260A">
            <w:pPr>
              <w:jc w:val="center"/>
              <w:rPr>
                <w:rFonts w:ascii="Segoe UI Symbol" w:eastAsia="MS Gothic" w:hAnsi="Segoe UI Symbol" w:cs="Segoe UI Symbol"/>
                <w:sz w:val="20"/>
                <w:szCs w:val="20"/>
              </w:rPr>
            </w:pPr>
          </w:p>
          <w:p w14:paraId="14CF6F24" w14:textId="77777777" w:rsidR="00D96256" w:rsidRPr="00D96256" w:rsidRDefault="00D96256" w:rsidP="00A0260A">
            <w:pPr>
              <w:jc w:val="center"/>
              <w:rPr>
                <w:sz w:val="16"/>
                <w:szCs w:val="16"/>
              </w:rPr>
            </w:pPr>
          </w:p>
          <w:p w14:paraId="5B320C54" w14:textId="1A15A4AA" w:rsidR="00D96256" w:rsidRPr="00D96256" w:rsidRDefault="00D96256" w:rsidP="00A0260A">
            <w:pPr>
              <w:jc w:val="center"/>
              <w:rPr>
                <w:sz w:val="16"/>
                <w:szCs w:val="16"/>
              </w:rPr>
            </w:pPr>
          </w:p>
        </w:tc>
        <w:tc>
          <w:tcPr>
            <w:tcW w:w="4678" w:type="dxa"/>
          </w:tcPr>
          <w:p w14:paraId="2A0FCAB5" w14:textId="7E3ABE44" w:rsidR="007A0D2F" w:rsidRPr="00F0112B" w:rsidRDefault="00F24995" w:rsidP="00E11B4D">
            <w:pPr>
              <w:spacing w:line="240" w:lineRule="auto"/>
              <w:rPr>
                <w:rFonts w:cstheme="minorHAnsi"/>
                <w:sz w:val="20"/>
                <w:szCs w:val="20"/>
              </w:rPr>
            </w:pPr>
            <w:r>
              <w:rPr>
                <w:rFonts w:cstheme="minorHAnsi"/>
                <w:sz w:val="20"/>
                <w:szCs w:val="20"/>
              </w:rPr>
              <w:t>Musculoskeletal conditions such as back, neck, arms, shoulders, joints etc</w:t>
            </w:r>
          </w:p>
        </w:tc>
        <w:tc>
          <w:tcPr>
            <w:tcW w:w="4252" w:type="dxa"/>
          </w:tcPr>
          <w:p w14:paraId="67B8F47E" w14:textId="5F730944" w:rsidR="007A0D2F" w:rsidRDefault="00F24995" w:rsidP="00E11B4D">
            <w:pPr>
              <w:spacing w:line="240" w:lineRule="auto"/>
              <w:rPr>
                <w:rFonts w:cstheme="minorHAnsi"/>
                <w:sz w:val="20"/>
                <w:szCs w:val="20"/>
              </w:rPr>
            </w:pPr>
            <w:r>
              <w:rPr>
                <w:rFonts w:cstheme="minorHAnsi"/>
                <w:sz w:val="20"/>
                <w:szCs w:val="20"/>
              </w:rPr>
              <w:t xml:space="preserve">Most musculoskeletal problems are minor and resolve with treatment.  Some chronic problems may require adjustments if mobility, strength, </w:t>
            </w:r>
            <w:r w:rsidR="002D1E97">
              <w:rPr>
                <w:rFonts w:cstheme="minorHAnsi"/>
                <w:sz w:val="20"/>
                <w:szCs w:val="20"/>
              </w:rPr>
              <w:t>grip,</w:t>
            </w:r>
            <w:r>
              <w:rPr>
                <w:rFonts w:cstheme="minorHAnsi"/>
                <w:sz w:val="20"/>
                <w:szCs w:val="20"/>
              </w:rPr>
              <w:t xml:space="preserve"> or </w:t>
            </w:r>
            <w:r w:rsidR="00C571CF">
              <w:rPr>
                <w:rFonts w:cstheme="minorHAnsi"/>
                <w:sz w:val="20"/>
                <w:szCs w:val="20"/>
              </w:rPr>
              <w:t>flexibility</w:t>
            </w:r>
            <w:r>
              <w:rPr>
                <w:rFonts w:cstheme="minorHAnsi"/>
                <w:sz w:val="20"/>
                <w:szCs w:val="20"/>
              </w:rPr>
              <w:t xml:space="preserve"> is impaired.  </w:t>
            </w:r>
            <w:r w:rsidR="00C571CF">
              <w:rPr>
                <w:rFonts w:cstheme="minorHAnsi"/>
                <w:sz w:val="20"/>
                <w:szCs w:val="20"/>
              </w:rPr>
              <w:t>Patient moving and handling equipment should be available in all clinical areas.  Adjustments to the workplace equipment and work practices are possible.  Support is available if required from the EHW physiotherapy team, moving and handling team and the Health and Safety team.</w:t>
            </w:r>
          </w:p>
          <w:p w14:paraId="3AE05394" w14:textId="69A0EB8C" w:rsidR="00C571CF" w:rsidRPr="00F0112B" w:rsidRDefault="00C571CF" w:rsidP="00E11B4D">
            <w:pPr>
              <w:spacing w:line="240" w:lineRule="auto"/>
              <w:rPr>
                <w:rFonts w:cstheme="minorHAnsi"/>
                <w:sz w:val="20"/>
                <w:szCs w:val="20"/>
              </w:rPr>
            </w:pPr>
            <w:r>
              <w:rPr>
                <w:rFonts w:cstheme="minorHAnsi"/>
                <w:sz w:val="20"/>
                <w:szCs w:val="20"/>
              </w:rPr>
              <w:t xml:space="preserve">Manual handling risk assessment and workstation assessment on commencement are recommended where appropriate. </w:t>
            </w:r>
          </w:p>
        </w:tc>
      </w:tr>
      <w:tr w:rsidR="007A0D2F" w14:paraId="6DE4D574" w14:textId="77777777" w:rsidTr="00E8468B">
        <w:trPr>
          <w:trHeight w:hRule="exact" w:val="227"/>
          <w:jc w:val="center"/>
        </w:trPr>
        <w:tc>
          <w:tcPr>
            <w:tcW w:w="3256" w:type="dxa"/>
            <w:shd w:val="clear" w:color="auto" w:fill="4472C4" w:themeFill="accent1"/>
          </w:tcPr>
          <w:p w14:paraId="30C78E37" w14:textId="4A7DF8CB" w:rsidR="007A0D2F" w:rsidRPr="002806A6" w:rsidRDefault="007A0D2F" w:rsidP="00E11B4D">
            <w:pPr>
              <w:spacing w:line="240" w:lineRule="auto"/>
              <w:rPr>
                <w:b/>
                <w:bCs/>
                <w:sz w:val="16"/>
                <w:szCs w:val="16"/>
              </w:rPr>
            </w:pPr>
            <w:r w:rsidRPr="002806A6">
              <w:rPr>
                <w:b/>
                <w:bCs/>
                <w:sz w:val="16"/>
                <w:szCs w:val="16"/>
              </w:rPr>
              <w:t xml:space="preserve">Section </w:t>
            </w:r>
            <w:r w:rsidR="001347C9">
              <w:rPr>
                <w:b/>
                <w:bCs/>
                <w:sz w:val="16"/>
                <w:szCs w:val="16"/>
              </w:rPr>
              <w:t>5</w:t>
            </w:r>
          </w:p>
        </w:tc>
        <w:tc>
          <w:tcPr>
            <w:tcW w:w="1134" w:type="dxa"/>
            <w:shd w:val="clear" w:color="auto" w:fill="4472C4" w:themeFill="accent1"/>
          </w:tcPr>
          <w:p w14:paraId="72A7A0EE" w14:textId="0CA554FE"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23D5B935" w14:textId="3DBA3983"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592EEBB6"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78158D90" w14:textId="77777777" w:rsidR="007A0D2F" w:rsidRPr="00F0112B" w:rsidRDefault="007A0D2F" w:rsidP="00E11B4D">
            <w:pPr>
              <w:spacing w:line="240" w:lineRule="auto"/>
              <w:rPr>
                <w:rFonts w:cstheme="minorHAnsi"/>
                <w:sz w:val="20"/>
                <w:szCs w:val="20"/>
              </w:rPr>
            </w:pPr>
          </w:p>
        </w:tc>
      </w:tr>
      <w:tr w:rsidR="007A0D2F" w14:paraId="4FADB598" w14:textId="77777777" w:rsidTr="00E8468B">
        <w:trPr>
          <w:jc w:val="center"/>
        </w:trPr>
        <w:tc>
          <w:tcPr>
            <w:tcW w:w="3256" w:type="dxa"/>
          </w:tcPr>
          <w:p w14:paraId="4FEFB699" w14:textId="77777777" w:rsidR="007A0D2F" w:rsidRDefault="00C571CF" w:rsidP="00E11B4D">
            <w:pPr>
              <w:spacing w:line="240" w:lineRule="auto"/>
              <w:rPr>
                <w:b/>
                <w:bCs/>
                <w:sz w:val="20"/>
                <w:szCs w:val="20"/>
              </w:rPr>
            </w:pPr>
            <w:r>
              <w:rPr>
                <w:b/>
                <w:bCs/>
                <w:sz w:val="20"/>
                <w:szCs w:val="20"/>
              </w:rPr>
              <w:t>Resilience to workplace pressures including working to deadlines or in stressful environments.</w:t>
            </w:r>
          </w:p>
          <w:p w14:paraId="50B9F8C4" w14:textId="228B2D19" w:rsidR="00C571CF" w:rsidRPr="00C571CF" w:rsidRDefault="00C571CF" w:rsidP="00E11B4D">
            <w:pPr>
              <w:spacing w:line="240" w:lineRule="auto"/>
              <w:rPr>
                <w:sz w:val="20"/>
                <w:szCs w:val="20"/>
              </w:rPr>
            </w:pPr>
            <w:r>
              <w:rPr>
                <w:sz w:val="20"/>
                <w:szCs w:val="20"/>
              </w:rPr>
              <w:t>Working in the health service can be busy and pressurised at times and work in patient areas can be distressing due to patients with serious illness or death.  Starting a new job can add additional pressures.</w:t>
            </w:r>
          </w:p>
        </w:tc>
        <w:tc>
          <w:tcPr>
            <w:tcW w:w="1134" w:type="dxa"/>
          </w:tcPr>
          <w:p w14:paraId="098956BE" w14:textId="120CAB5F" w:rsidR="007A0D2F" w:rsidRPr="002806A6" w:rsidRDefault="00180068" w:rsidP="00A0260A">
            <w:pPr>
              <w:spacing w:line="240" w:lineRule="auto"/>
              <w:jc w:val="center"/>
              <w:rPr>
                <w:b/>
                <w:bCs/>
                <w:sz w:val="16"/>
                <w:szCs w:val="16"/>
              </w:rPr>
            </w:pPr>
            <w:sdt>
              <w:sdtPr>
                <w:rPr>
                  <w:rFonts w:cstheme="minorHAnsi"/>
                  <w:sz w:val="20"/>
                  <w:szCs w:val="20"/>
                </w:rPr>
                <w:id w:val="1345526766"/>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74D15AD6" w14:textId="7CE99586" w:rsidR="007A0D2F" w:rsidRPr="002806A6" w:rsidRDefault="00180068" w:rsidP="00A0260A">
            <w:pPr>
              <w:spacing w:line="240" w:lineRule="auto"/>
              <w:jc w:val="center"/>
              <w:rPr>
                <w:b/>
                <w:bCs/>
                <w:sz w:val="16"/>
                <w:szCs w:val="16"/>
              </w:rPr>
            </w:pPr>
            <w:sdt>
              <w:sdtPr>
                <w:rPr>
                  <w:rFonts w:cstheme="minorHAnsi"/>
                  <w:sz w:val="20"/>
                  <w:szCs w:val="20"/>
                </w:rPr>
                <w:id w:val="-1274931623"/>
                <w14:checkbox>
                  <w14:checked w14:val="0"/>
                  <w14:checkedState w14:val="2612" w14:font="MS Gothic"/>
                  <w14:uncheckedState w14:val="2610" w14:font="MS Gothic"/>
                </w14:checkbox>
              </w:sdtPr>
              <w:sdtEndPr/>
              <w:sdtContent>
                <w:r w:rsidR="007A0D2F" w:rsidRPr="00F0112B">
                  <w:rPr>
                    <w:rFonts w:ascii="Segoe UI Symbol" w:eastAsia="MS Gothic" w:hAnsi="Segoe UI Symbol" w:cs="Segoe UI Symbol"/>
                    <w:sz w:val="20"/>
                    <w:szCs w:val="20"/>
                  </w:rPr>
                  <w:t>☐</w:t>
                </w:r>
              </w:sdtContent>
            </w:sdt>
          </w:p>
        </w:tc>
        <w:tc>
          <w:tcPr>
            <w:tcW w:w="4678" w:type="dxa"/>
          </w:tcPr>
          <w:p w14:paraId="1E96BD34" w14:textId="6DECA755" w:rsidR="007A0D2F" w:rsidRPr="00F0112B" w:rsidRDefault="00C571CF" w:rsidP="00E11B4D">
            <w:pPr>
              <w:spacing w:line="240" w:lineRule="auto"/>
              <w:rPr>
                <w:rFonts w:cstheme="minorHAnsi"/>
                <w:sz w:val="20"/>
                <w:szCs w:val="20"/>
              </w:rPr>
            </w:pPr>
            <w:r>
              <w:rPr>
                <w:rFonts w:cstheme="minorHAnsi"/>
                <w:sz w:val="20"/>
                <w:szCs w:val="20"/>
              </w:rPr>
              <w:t xml:space="preserve">Mental health issues such as anxiety, or panic disorders. Depression, bipolar affective disorders, schizophrenia.  Other conditions that may be affected by stress </w:t>
            </w:r>
            <w:proofErr w:type="gramStart"/>
            <w:r>
              <w:rPr>
                <w:rFonts w:cstheme="minorHAnsi"/>
                <w:sz w:val="20"/>
                <w:szCs w:val="20"/>
              </w:rPr>
              <w:t>include;</w:t>
            </w:r>
            <w:proofErr w:type="gramEnd"/>
            <w:r>
              <w:rPr>
                <w:rFonts w:cstheme="minorHAnsi"/>
                <w:sz w:val="20"/>
                <w:szCs w:val="20"/>
              </w:rPr>
              <w:t xml:space="preserve"> personality disorders, epilepsy, bowel conditions, eczema, hypertension, and some cardiac conditions</w:t>
            </w:r>
          </w:p>
        </w:tc>
        <w:tc>
          <w:tcPr>
            <w:tcW w:w="4252" w:type="dxa"/>
          </w:tcPr>
          <w:p w14:paraId="13027214" w14:textId="77777777" w:rsidR="007A0D2F" w:rsidRDefault="00C571CF" w:rsidP="00E11B4D">
            <w:pPr>
              <w:spacing w:line="240" w:lineRule="auto"/>
              <w:rPr>
                <w:rFonts w:cstheme="minorHAnsi"/>
                <w:sz w:val="20"/>
                <w:szCs w:val="20"/>
              </w:rPr>
            </w:pPr>
            <w:r>
              <w:rPr>
                <w:rFonts w:cstheme="minorHAnsi"/>
                <w:sz w:val="20"/>
                <w:szCs w:val="20"/>
              </w:rPr>
              <w:t>Emotional Resilience, CBT: thinking Resiliently, Emotional Intelligence, Prevention and management of Stress in the Workplace courses are available.  Support is also available from the EHW service and via management.</w:t>
            </w:r>
          </w:p>
          <w:p w14:paraId="17E5384E" w14:textId="02F1B8F3" w:rsidR="00B23EDF" w:rsidRPr="00F0112B" w:rsidRDefault="00C571CF" w:rsidP="00E11B4D">
            <w:pPr>
              <w:spacing w:line="240" w:lineRule="auto"/>
              <w:rPr>
                <w:rFonts w:cstheme="minorHAnsi"/>
                <w:sz w:val="20"/>
                <w:szCs w:val="20"/>
              </w:rPr>
            </w:pPr>
            <w:r>
              <w:rPr>
                <w:rFonts w:cstheme="minorHAnsi"/>
                <w:sz w:val="20"/>
                <w:szCs w:val="20"/>
              </w:rPr>
              <w:t>A stress risk assessment on commencement of duties will usually be advised.  The Trust has a psychological wellbeing policy and process that can help minimise the effect of workplace stress.</w:t>
            </w:r>
          </w:p>
        </w:tc>
      </w:tr>
      <w:tr w:rsidR="007A0D2F" w14:paraId="67944B14" w14:textId="77777777" w:rsidTr="00E8468B">
        <w:trPr>
          <w:trHeight w:hRule="exact" w:val="227"/>
          <w:jc w:val="center"/>
        </w:trPr>
        <w:tc>
          <w:tcPr>
            <w:tcW w:w="3256" w:type="dxa"/>
            <w:shd w:val="clear" w:color="auto" w:fill="4472C4" w:themeFill="accent1"/>
          </w:tcPr>
          <w:p w14:paraId="07B912BE" w14:textId="6CCE0181" w:rsidR="007A0D2F" w:rsidRPr="002806A6" w:rsidRDefault="007A0D2F" w:rsidP="00E11B4D">
            <w:pPr>
              <w:spacing w:line="240" w:lineRule="auto"/>
              <w:rPr>
                <w:b/>
                <w:bCs/>
                <w:sz w:val="16"/>
                <w:szCs w:val="16"/>
              </w:rPr>
            </w:pPr>
            <w:r w:rsidRPr="002806A6">
              <w:rPr>
                <w:b/>
                <w:bCs/>
                <w:sz w:val="16"/>
                <w:szCs w:val="16"/>
              </w:rPr>
              <w:t xml:space="preserve">Section </w:t>
            </w:r>
            <w:r w:rsidR="001347C9">
              <w:rPr>
                <w:b/>
                <w:bCs/>
                <w:sz w:val="16"/>
                <w:szCs w:val="16"/>
              </w:rPr>
              <w:t>6</w:t>
            </w:r>
          </w:p>
        </w:tc>
        <w:tc>
          <w:tcPr>
            <w:tcW w:w="1134" w:type="dxa"/>
            <w:shd w:val="clear" w:color="auto" w:fill="4472C4" w:themeFill="accent1"/>
          </w:tcPr>
          <w:p w14:paraId="6210B4D9" w14:textId="38B6421C"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35F6E105" w14:textId="4312F706"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5B233DC7"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7205E7A3" w14:textId="77777777" w:rsidR="007A0D2F" w:rsidRPr="00F0112B" w:rsidRDefault="007A0D2F" w:rsidP="00E11B4D">
            <w:pPr>
              <w:spacing w:line="240" w:lineRule="auto"/>
              <w:rPr>
                <w:rFonts w:cstheme="minorHAnsi"/>
                <w:sz w:val="20"/>
                <w:szCs w:val="20"/>
              </w:rPr>
            </w:pPr>
          </w:p>
        </w:tc>
      </w:tr>
      <w:tr w:rsidR="007A0D2F" w14:paraId="7C09F6E5" w14:textId="77777777" w:rsidTr="00E8468B">
        <w:trPr>
          <w:jc w:val="center"/>
        </w:trPr>
        <w:tc>
          <w:tcPr>
            <w:tcW w:w="3256" w:type="dxa"/>
          </w:tcPr>
          <w:p w14:paraId="25A34D0F" w14:textId="1A5AE266" w:rsidR="007A0D2F" w:rsidRPr="00C571CF" w:rsidRDefault="00C571CF" w:rsidP="00E11B4D">
            <w:pPr>
              <w:spacing w:line="240" w:lineRule="auto"/>
              <w:rPr>
                <w:b/>
                <w:bCs/>
                <w:sz w:val="20"/>
                <w:szCs w:val="20"/>
              </w:rPr>
            </w:pPr>
            <w:r>
              <w:rPr>
                <w:b/>
                <w:bCs/>
                <w:sz w:val="20"/>
                <w:szCs w:val="20"/>
              </w:rPr>
              <w:t>Regular night work including on-calls</w:t>
            </w:r>
          </w:p>
        </w:tc>
        <w:tc>
          <w:tcPr>
            <w:tcW w:w="1134" w:type="dxa"/>
          </w:tcPr>
          <w:p w14:paraId="04D011D8" w14:textId="3E5FF91D" w:rsidR="007A0D2F" w:rsidRPr="002806A6" w:rsidRDefault="00180068" w:rsidP="00A0260A">
            <w:pPr>
              <w:spacing w:line="240" w:lineRule="auto"/>
              <w:jc w:val="center"/>
              <w:rPr>
                <w:b/>
                <w:bCs/>
                <w:sz w:val="16"/>
                <w:szCs w:val="16"/>
              </w:rPr>
            </w:pPr>
            <w:sdt>
              <w:sdtPr>
                <w:rPr>
                  <w:rFonts w:cstheme="minorHAnsi"/>
                  <w:sz w:val="20"/>
                  <w:szCs w:val="20"/>
                </w:rPr>
                <w:id w:val="899488674"/>
                <w14:checkbox>
                  <w14:checked w14:val="0"/>
                  <w14:checkedState w14:val="2612" w14:font="MS Gothic"/>
                  <w14:uncheckedState w14:val="2610" w14:font="MS Gothic"/>
                </w14:checkbox>
              </w:sdtPr>
              <w:sdtEndPr/>
              <w:sdtContent>
                <w:r w:rsidR="007A0D2F">
                  <w:rPr>
                    <w:rFonts w:ascii="MS Gothic" w:eastAsia="MS Gothic" w:hAnsi="MS Gothic" w:cstheme="minorHAnsi" w:hint="eastAsia"/>
                    <w:sz w:val="20"/>
                    <w:szCs w:val="20"/>
                  </w:rPr>
                  <w:t>☐</w:t>
                </w:r>
              </w:sdtContent>
            </w:sdt>
          </w:p>
        </w:tc>
        <w:tc>
          <w:tcPr>
            <w:tcW w:w="992" w:type="dxa"/>
          </w:tcPr>
          <w:p w14:paraId="3D493355" w14:textId="126CA622" w:rsidR="007A0D2F" w:rsidRPr="002806A6" w:rsidRDefault="00180068" w:rsidP="00A0260A">
            <w:pPr>
              <w:spacing w:line="240" w:lineRule="auto"/>
              <w:jc w:val="center"/>
              <w:rPr>
                <w:b/>
                <w:bCs/>
                <w:sz w:val="16"/>
                <w:szCs w:val="16"/>
              </w:rPr>
            </w:pPr>
            <w:sdt>
              <w:sdtPr>
                <w:rPr>
                  <w:rFonts w:cstheme="minorHAnsi"/>
                  <w:sz w:val="20"/>
                  <w:szCs w:val="20"/>
                </w:rPr>
                <w:id w:val="1974322395"/>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4678" w:type="dxa"/>
          </w:tcPr>
          <w:p w14:paraId="3C430FA2" w14:textId="4DD1E22F" w:rsidR="007A0D2F" w:rsidRPr="00F0112B" w:rsidRDefault="00C571CF" w:rsidP="00E11B4D">
            <w:pPr>
              <w:spacing w:line="240" w:lineRule="auto"/>
              <w:rPr>
                <w:rFonts w:cstheme="minorHAnsi"/>
                <w:sz w:val="20"/>
                <w:szCs w:val="20"/>
              </w:rPr>
            </w:pPr>
            <w:r>
              <w:rPr>
                <w:rFonts w:cstheme="minorHAnsi"/>
                <w:sz w:val="20"/>
                <w:szCs w:val="20"/>
              </w:rPr>
              <w:t>Working nights may adversely affect individuals with health conditions such as diabetes, epilepsy, heart conditions, sleep disorders such as sleep apnoea</w:t>
            </w:r>
          </w:p>
        </w:tc>
        <w:tc>
          <w:tcPr>
            <w:tcW w:w="4252" w:type="dxa"/>
          </w:tcPr>
          <w:p w14:paraId="3C73001D" w14:textId="77777777" w:rsidR="007A0D2F" w:rsidRDefault="00C571CF" w:rsidP="00E11B4D">
            <w:pPr>
              <w:spacing w:line="240" w:lineRule="auto"/>
              <w:rPr>
                <w:rFonts w:cstheme="minorHAnsi"/>
                <w:sz w:val="20"/>
                <w:szCs w:val="20"/>
              </w:rPr>
            </w:pPr>
            <w:r>
              <w:rPr>
                <w:rFonts w:cstheme="minorHAnsi"/>
                <w:sz w:val="20"/>
                <w:szCs w:val="20"/>
              </w:rPr>
              <w:t xml:space="preserve">Temporary or permanent adjustments may be required, although most people with underlying health conditions can work a variety of shifts without is adversely affecting their health.  </w:t>
            </w:r>
          </w:p>
          <w:p w14:paraId="73BB85D3" w14:textId="56C670BD" w:rsidR="00E11B4D" w:rsidRPr="00F0112B" w:rsidRDefault="00C571CF" w:rsidP="00E11B4D">
            <w:pPr>
              <w:spacing w:line="240" w:lineRule="auto"/>
              <w:rPr>
                <w:rFonts w:cstheme="minorHAnsi"/>
                <w:sz w:val="20"/>
                <w:szCs w:val="20"/>
              </w:rPr>
            </w:pPr>
            <w:r>
              <w:rPr>
                <w:rFonts w:cstheme="minorHAnsi"/>
                <w:sz w:val="20"/>
                <w:szCs w:val="20"/>
              </w:rPr>
              <w:lastRenderedPageBreak/>
              <w:t>Yearly night worker health assessments are available for night workers.</w:t>
            </w:r>
          </w:p>
        </w:tc>
      </w:tr>
      <w:tr w:rsidR="007A0D2F" w14:paraId="65B3DA11" w14:textId="77777777" w:rsidTr="00E8468B">
        <w:trPr>
          <w:trHeight w:hRule="exact" w:val="227"/>
          <w:jc w:val="center"/>
        </w:trPr>
        <w:tc>
          <w:tcPr>
            <w:tcW w:w="3256" w:type="dxa"/>
            <w:shd w:val="clear" w:color="auto" w:fill="4472C4" w:themeFill="accent1"/>
          </w:tcPr>
          <w:p w14:paraId="7D1A0D6C" w14:textId="03F3DE6E" w:rsidR="007A0D2F" w:rsidRPr="002806A6" w:rsidRDefault="007A0D2F" w:rsidP="00E11B4D">
            <w:pPr>
              <w:spacing w:line="240" w:lineRule="auto"/>
              <w:rPr>
                <w:b/>
                <w:bCs/>
                <w:sz w:val="16"/>
                <w:szCs w:val="16"/>
              </w:rPr>
            </w:pPr>
            <w:r w:rsidRPr="002806A6">
              <w:rPr>
                <w:b/>
                <w:bCs/>
                <w:sz w:val="16"/>
                <w:szCs w:val="16"/>
              </w:rPr>
              <w:lastRenderedPageBreak/>
              <w:t xml:space="preserve">Section </w:t>
            </w:r>
            <w:r w:rsidR="001347C9">
              <w:rPr>
                <w:b/>
                <w:bCs/>
                <w:sz w:val="16"/>
                <w:szCs w:val="16"/>
              </w:rPr>
              <w:t>7</w:t>
            </w:r>
          </w:p>
        </w:tc>
        <w:tc>
          <w:tcPr>
            <w:tcW w:w="1134" w:type="dxa"/>
            <w:shd w:val="clear" w:color="auto" w:fill="4472C4" w:themeFill="accent1"/>
          </w:tcPr>
          <w:p w14:paraId="6B81F133" w14:textId="24F2314A"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730F333A" w14:textId="7A59B7CD"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292D2218"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4381CD75" w14:textId="77777777" w:rsidR="007A0D2F" w:rsidRPr="00F0112B" w:rsidRDefault="007A0D2F" w:rsidP="00E11B4D">
            <w:pPr>
              <w:spacing w:line="240" w:lineRule="auto"/>
              <w:rPr>
                <w:rFonts w:cstheme="minorHAnsi"/>
                <w:sz w:val="20"/>
                <w:szCs w:val="20"/>
              </w:rPr>
            </w:pPr>
          </w:p>
        </w:tc>
      </w:tr>
      <w:tr w:rsidR="007A0D2F" w14:paraId="2E75CE6F" w14:textId="77777777" w:rsidTr="00E8468B">
        <w:trPr>
          <w:jc w:val="center"/>
        </w:trPr>
        <w:tc>
          <w:tcPr>
            <w:tcW w:w="3256" w:type="dxa"/>
          </w:tcPr>
          <w:p w14:paraId="70278742" w14:textId="77777777" w:rsidR="007A0D2F" w:rsidRDefault="00C571CF" w:rsidP="00E11B4D">
            <w:pPr>
              <w:spacing w:line="240" w:lineRule="auto"/>
              <w:rPr>
                <w:b/>
                <w:bCs/>
                <w:sz w:val="20"/>
                <w:szCs w:val="20"/>
              </w:rPr>
            </w:pPr>
            <w:r>
              <w:rPr>
                <w:b/>
                <w:bCs/>
                <w:sz w:val="20"/>
                <w:szCs w:val="20"/>
              </w:rPr>
              <w:t>Working alone, in confined spaces or at height.</w:t>
            </w:r>
          </w:p>
          <w:p w14:paraId="6B4A03E5" w14:textId="0062BD68" w:rsidR="00C571CF" w:rsidRPr="00C571CF" w:rsidRDefault="00C571CF" w:rsidP="00E11B4D">
            <w:pPr>
              <w:spacing w:line="240" w:lineRule="auto"/>
              <w:rPr>
                <w:sz w:val="20"/>
                <w:szCs w:val="20"/>
              </w:rPr>
            </w:pPr>
            <w:r>
              <w:rPr>
                <w:sz w:val="20"/>
                <w:szCs w:val="20"/>
              </w:rPr>
              <w:t>These tasks may be dangerous for those with certain health conditions and may require training and specific safety measures to protect employees’ health.</w:t>
            </w:r>
          </w:p>
        </w:tc>
        <w:tc>
          <w:tcPr>
            <w:tcW w:w="1134" w:type="dxa"/>
          </w:tcPr>
          <w:p w14:paraId="11846360" w14:textId="1C0672AC" w:rsidR="007A0D2F" w:rsidRPr="002806A6" w:rsidRDefault="00180068" w:rsidP="00A0260A">
            <w:pPr>
              <w:spacing w:line="240" w:lineRule="auto"/>
              <w:jc w:val="center"/>
              <w:rPr>
                <w:b/>
                <w:bCs/>
                <w:sz w:val="16"/>
                <w:szCs w:val="16"/>
              </w:rPr>
            </w:pPr>
            <w:sdt>
              <w:sdtPr>
                <w:rPr>
                  <w:rFonts w:cstheme="minorHAnsi"/>
                  <w:sz w:val="20"/>
                  <w:szCs w:val="20"/>
                </w:rPr>
                <w:id w:val="433253243"/>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1EE52508" w14:textId="314BE2A1" w:rsidR="007A0D2F" w:rsidRPr="002806A6" w:rsidRDefault="00180068" w:rsidP="00A0260A">
            <w:pPr>
              <w:spacing w:line="240" w:lineRule="auto"/>
              <w:jc w:val="center"/>
              <w:rPr>
                <w:b/>
                <w:bCs/>
                <w:sz w:val="16"/>
                <w:szCs w:val="16"/>
              </w:rPr>
            </w:pPr>
            <w:sdt>
              <w:sdtPr>
                <w:rPr>
                  <w:rFonts w:cstheme="minorHAnsi"/>
                  <w:sz w:val="20"/>
                  <w:szCs w:val="20"/>
                </w:rPr>
                <w:id w:val="940190188"/>
                <w14:checkbox>
                  <w14:checked w14:val="0"/>
                  <w14:checkedState w14:val="2612" w14:font="MS Gothic"/>
                  <w14:uncheckedState w14:val="2610" w14:font="MS Gothic"/>
                </w14:checkbox>
              </w:sdtPr>
              <w:sdtEndPr/>
              <w:sdtContent>
                <w:r w:rsidR="000D0195">
                  <w:rPr>
                    <w:rFonts w:ascii="MS Gothic" w:eastAsia="MS Gothic" w:hAnsi="MS Gothic" w:cstheme="minorHAnsi" w:hint="eastAsia"/>
                    <w:sz w:val="20"/>
                    <w:szCs w:val="20"/>
                  </w:rPr>
                  <w:t>☐</w:t>
                </w:r>
              </w:sdtContent>
            </w:sdt>
          </w:p>
        </w:tc>
        <w:tc>
          <w:tcPr>
            <w:tcW w:w="4678" w:type="dxa"/>
          </w:tcPr>
          <w:p w14:paraId="465708C4" w14:textId="77777777" w:rsidR="007A0D2F" w:rsidRDefault="00C571CF" w:rsidP="00E11B4D">
            <w:pPr>
              <w:spacing w:line="240" w:lineRule="auto"/>
              <w:rPr>
                <w:rFonts w:cstheme="minorHAnsi"/>
                <w:sz w:val="20"/>
                <w:szCs w:val="20"/>
              </w:rPr>
            </w:pPr>
            <w:r>
              <w:rPr>
                <w:rFonts w:cstheme="minorHAnsi"/>
                <w:sz w:val="20"/>
                <w:szCs w:val="20"/>
              </w:rPr>
              <w:t>Diabetes, epilepsy, heart conditions, mental health conditions, including anxiety or panic disorders, claustrophobia, respiratory conditions.</w:t>
            </w:r>
          </w:p>
          <w:p w14:paraId="57CA5E80" w14:textId="77A0E321" w:rsidR="00C571CF" w:rsidRPr="00F0112B" w:rsidRDefault="00C571CF" w:rsidP="00E11B4D">
            <w:pPr>
              <w:spacing w:line="240" w:lineRule="auto"/>
              <w:rPr>
                <w:rFonts w:cstheme="minorHAnsi"/>
                <w:sz w:val="20"/>
                <w:szCs w:val="20"/>
              </w:rPr>
            </w:pPr>
            <w:r>
              <w:rPr>
                <w:rFonts w:cstheme="minorHAnsi"/>
                <w:sz w:val="20"/>
                <w:szCs w:val="20"/>
              </w:rPr>
              <w:t>It is important that these conditions are declared, in confidence, to the EHW Service to determine if any adjustments or restrictions need to be put in place to protect them and others.</w:t>
            </w:r>
          </w:p>
        </w:tc>
        <w:tc>
          <w:tcPr>
            <w:tcW w:w="4252" w:type="dxa"/>
          </w:tcPr>
          <w:p w14:paraId="451E8634" w14:textId="77777777" w:rsidR="007A0D2F" w:rsidRDefault="00C571CF" w:rsidP="00E11B4D">
            <w:pPr>
              <w:spacing w:line="240" w:lineRule="auto"/>
              <w:rPr>
                <w:rFonts w:cstheme="minorHAnsi"/>
                <w:sz w:val="20"/>
                <w:szCs w:val="20"/>
              </w:rPr>
            </w:pPr>
            <w:r>
              <w:rPr>
                <w:rFonts w:cstheme="minorHAnsi"/>
                <w:sz w:val="20"/>
                <w:szCs w:val="20"/>
              </w:rPr>
              <w:t>It may be possible to put additional safe systems of work in place to protect the employee, or some minor restrictions or modifications may need to be made to their work.</w:t>
            </w:r>
          </w:p>
          <w:p w14:paraId="09982FFE" w14:textId="7849B650" w:rsidR="00C571CF" w:rsidRPr="00F0112B" w:rsidRDefault="00C571CF" w:rsidP="00E11B4D">
            <w:pPr>
              <w:spacing w:line="240" w:lineRule="auto"/>
              <w:rPr>
                <w:rFonts w:cstheme="minorHAnsi"/>
                <w:sz w:val="20"/>
                <w:szCs w:val="20"/>
              </w:rPr>
            </w:pPr>
            <w:r>
              <w:rPr>
                <w:rFonts w:cstheme="minorHAnsi"/>
                <w:sz w:val="20"/>
                <w:szCs w:val="20"/>
              </w:rPr>
              <w:t>A workplace risk assessment will usually be advised on commencement of duties for those individuals with these conditions.</w:t>
            </w:r>
          </w:p>
        </w:tc>
      </w:tr>
      <w:tr w:rsidR="007A0D2F" w14:paraId="213EAA68" w14:textId="77777777" w:rsidTr="00E8468B">
        <w:trPr>
          <w:trHeight w:hRule="exact" w:val="227"/>
          <w:jc w:val="center"/>
        </w:trPr>
        <w:tc>
          <w:tcPr>
            <w:tcW w:w="3256" w:type="dxa"/>
            <w:shd w:val="clear" w:color="auto" w:fill="4472C4" w:themeFill="accent1"/>
          </w:tcPr>
          <w:p w14:paraId="1C70BA26" w14:textId="1044E48B" w:rsidR="007A0D2F" w:rsidRPr="002806A6" w:rsidRDefault="007A0D2F" w:rsidP="00E11B4D">
            <w:pPr>
              <w:spacing w:line="240" w:lineRule="auto"/>
              <w:rPr>
                <w:b/>
                <w:bCs/>
                <w:sz w:val="16"/>
                <w:szCs w:val="16"/>
              </w:rPr>
            </w:pPr>
            <w:r w:rsidRPr="002806A6">
              <w:rPr>
                <w:b/>
                <w:bCs/>
                <w:sz w:val="16"/>
                <w:szCs w:val="16"/>
              </w:rPr>
              <w:t xml:space="preserve">Section </w:t>
            </w:r>
            <w:r w:rsidR="001347C9">
              <w:rPr>
                <w:b/>
                <w:bCs/>
                <w:sz w:val="16"/>
                <w:szCs w:val="16"/>
              </w:rPr>
              <w:t>8</w:t>
            </w:r>
          </w:p>
        </w:tc>
        <w:tc>
          <w:tcPr>
            <w:tcW w:w="1134" w:type="dxa"/>
            <w:shd w:val="clear" w:color="auto" w:fill="4472C4" w:themeFill="accent1"/>
          </w:tcPr>
          <w:p w14:paraId="2BA20FA2" w14:textId="2BE9CDFD"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033E8CCD" w14:textId="43901BA2"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11AC4AE0"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19C121E9" w14:textId="77777777" w:rsidR="007A0D2F" w:rsidRPr="00F0112B" w:rsidRDefault="007A0D2F" w:rsidP="00E11B4D">
            <w:pPr>
              <w:spacing w:line="240" w:lineRule="auto"/>
              <w:rPr>
                <w:rFonts w:cstheme="minorHAnsi"/>
                <w:sz w:val="20"/>
                <w:szCs w:val="20"/>
              </w:rPr>
            </w:pPr>
          </w:p>
        </w:tc>
      </w:tr>
      <w:tr w:rsidR="007A0D2F" w14:paraId="1B48DFEA" w14:textId="77777777" w:rsidTr="00E8468B">
        <w:trPr>
          <w:jc w:val="center"/>
        </w:trPr>
        <w:tc>
          <w:tcPr>
            <w:tcW w:w="3256" w:type="dxa"/>
          </w:tcPr>
          <w:p w14:paraId="6D5E3688" w14:textId="278A54AC" w:rsidR="007A0D2F" w:rsidRPr="00E9685B" w:rsidRDefault="00E9685B" w:rsidP="00E11B4D">
            <w:pPr>
              <w:spacing w:line="240" w:lineRule="auto"/>
              <w:rPr>
                <w:b/>
                <w:bCs/>
                <w:sz w:val="20"/>
                <w:szCs w:val="20"/>
              </w:rPr>
            </w:pPr>
            <w:r>
              <w:rPr>
                <w:b/>
                <w:bCs/>
                <w:sz w:val="20"/>
                <w:szCs w:val="20"/>
              </w:rPr>
              <w:t>Regular computer-based work or desk-based work.</w:t>
            </w:r>
          </w:p>
        </w:tc>
        <w:tc>
          <w:tcPr>
            <w:tcW w:w="1134" w:type="dxa"/>
          </w:tcPr>
          <w:p w14:paraId="525EF45E" w14:textId="03E471CC" w:rsidR="007A0D2F" w:rsidRPr="002806A6" w:rsidRDefault="00180068" w:rsidP="00A0260A">
            <w:pPr>
              <w:spacing w:line="240" w:lineRule="auto"/>
              <w:jc w:val="center"/>
              <w:rPr>
                <w:b/>
                <w:bCs/>
                <w:sz w:val="16"/>
                <w:szCs w:val="16"/>
              </w:rPr>
            </w:pPr>
            <w:sdt>
              <w:sdtPr>
                <w:rPr>
                  <w:rFonts w:cstheme="minorHAnsi"/>
                  <w:sz w:val="20"/>
                  <w:szCs w:val="20"/>
                </w:rPr>
                <w:id w:val="815306838"/>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1FD1A8D2" w14:textId="3231AA96" w:rsidR="007A0D2F" w:rsidRPr="002806A6" w:rsidRDefault="00180068" w:rsidP="00A0260A">
            <w:pPr>
              <w:spacing w:line="240" w:lineRule="auto"/>
              <w:jc w:val="center"/>
              <w:rPr>
                <w:b/>
                <w:bCs/>
                <w:sz w:val="16"/>
                <w:szCs w:val="16"/>
              </w:rPr>
            </w:pPr>
            <w:sdt>
              <w:sdtPr>
                <w:rPr>
                  <w:rFonts w:cstheme="minorHAnsi"/>
                  <w:sz w:val="20"/>
                  <w:szCs w:val="20"/>
                </w:rPr>
                <w:id w:val="-2012054797"/>
                <w14:checkbox>
                  <w14:checked w14:val="0"/>
                  <w14:checkedState w14:val="2612" w14:font="MS Gothic"/>
                  <w14:uncheckedState w14:val="2610" w14:font="MS Gothic"/>
                </w14:checkbox>
              </w:sdtPr>
              <w:sdtEndPr/>
              <w:sdtContent>
                <w:r w:rsidR="000D0195">
                  <w:rPr>
                    <w:rFonts w:ascii="MS Gothic" w:eastAsia="MS Gothic" w:hAnsi="MS Gothic" w:cstheme="minorHAnsi" w:hint="eastAsia"/>
                    <w:sz w:val="20"/>
                    <w:szCs w:val="20"/>
                  </w:rPr>
                  <w:t>☐</w:t>
                </w:r>
              </w:sdtContent>
            </w:sdt>
          </w:p>
        </w:tc>
        <w:tc>
          <w:tcPr>
            <w:tcW w:w="4678" w:type="dxa"/>
          </w:tcPr>
          <w:p w14:paraId="49463EA1" w14:textId="462D61B1" w:rsidR="007A0D2F" w:rsidRPr="00F0112B" w:rsidRDefault="00E9685B" w:rsidP="00E11B4D">
            <w:pPr>
              <w:spacing w:line="240" w:lineRule="auto"/>
              <w:rPr>
                <w:rFonts w:cstheme="minorHAnsi"/>
                <w:sz w:val="20"/>
                <w:szCs w:val="20"/>
              </w:rPr>
            </w:pPr>
            <w:r>
              <w:rPr>
                <w:rFonts w:cstheme="minorHAnsi"/>
                <w:sz w:val="20"/>
                <w:szCs w:val="20"/>
              </w:rPr>
              <w:t>Musculoskeletal disorders (back, neck, arms, shoulders, joints, etc), eye conditions, or conditions affecting the hands or wrists.</w:t>
            </w:r>
          </w:p>
        </w:tc>
        <w:tc>
          <w:tcPr>
            <w:tcW w:w="4252" w:type="dxa"/>
          </w:tcPr>
          <w:p w14:paraId="5D24F87B" w14:textId="32E67CF7" w:rsidR="007A0D2F" w:rsidRDefault="00E9685B" w:rsidP="00E11B4D">
            <w:pPr>
              <w:spacing w:line="240" w:lineRule="auto"/>
              <w:rPr>
                <w:rFonts w:cstheme="minorHAnsi"/>
                <w:sz w:val="20"/>
                <w:szCs w:val="20"/>
              </w:rPr>
            </w:pPr>
            <w:r>
              <w:rPr>
                <w:rFonts w:cstheme="minorHAnsi"/>
                <w:sz w:val="20"/>
                <w:szCs w:val="20"/>
              </w:rPr>
              <w:t xml:space="preserve">Most musculoskeletal disorders are minor and resolve with treatment.  Some chronic problems may require adjustments if mobility, strength, </w:t>
            </w:r>
            <w:r w:rsidR="008D03E8">
              <w:rPr>
                <w:rFonts w:cstheme="minorHAnsi"/>
                <w:sz w:val="20"/>
                <w:szCs w:val="20"/>
              </w:rPr>
              <w:t>grip,</w:t>
            </w:r>
            <w:r>
              <w:rPr>
                <w:rFonts w:cstheme="minorHAnsi"/>
                <w:sz w:val="20"/>
                <w:szCs w:val="20"/>
              </w:rPr>
              <w:t xml:space="preserve"> or flexibility is impaired.  Adjustments to the workplace, equipment and work practices are possible.  Support is available if necessary, from the EHW physiotherapy service, manual handling team and the health and safety team.</w:t>
            </w:r>
          </w:p>
          <w:p w14:paraId="47D6E9DD" w14:textId="77777777" w:rsidR="00E9685B" w:rsidRDefault="00E9685B" w:rsidP="00E11B4D">
            <w:pPr>
              <w:spacing w:line="240" w:lineRule="auto"/>
              <w:rPr>
                <w:rFonts w:cstheme="minorHAnsi"/>
                <w:sz w:val="20"/>
                <w:szCs w:val="20"/>
              </w:rPr>
            </w:pPr>
            <w:r>
              <w:rPr>
                <w:rFonts w:cstheme="minorHAnsi"/>
                <w:sz w:val="20"/>
                <w:szCs w:val="20"/>
              </w:rPr>
              <w:t>If you are classed as a Display Screen User, you will be required to complete a Display Screen Assessment within 2 weeks of commencing in post.</w:t>
            </w:r>
          </w:p>
          <w:p w14:paraId="26DD8520" w14:textId="172D333C" w:rsidR="006137CD" w:rsidRPr="00B23EDF" w:rsidRDefault="00B23EDF" w:rsidP="00E11B4D">
            <w:pPr>
              <w:spacing w:line="240" w:lineRule="auto"/>
              <w:rPr>
                <w:rFonts w:cstheme="minorHAnsi"/>
                <w:i/>
                <w:iCs/>
                <w:sz w:val="20"/>
                <w:szCs w:val="20"/>
              </w:rPr>
            </w:pPr>
            <w:r>
              <w:rPr>
                <w:rFonts w:cstheme="minorHAnsi"/>
                <w:i/>
                <w:iCs/>
                <w:sz w:val="20"/>
                <w:szCs w:val="20"/>
              </w:rPr>
              <w:t>*As per Health and Safety Executive – Working safely with display screen equipment</w:t>
            </w:r>
          </w:p>
        </w:tc>
      </w:tr>
      <w:tr w:rsidR="007A0D2F" w14:paraId="6423FB0D" w14:textId="77777777" w:rsidTr="00E8468B">
        <w:trPr>
          <w:trHeight w:hRule="exact" w:val="227"/>
          <w:jc w:val="center"/>
        </w:trPr>
        <w:tc>
          <w:tcPr>
            <w:tcW w:w="3256" w:type="dxa"/>
            <w:shd w:val="clear" w:color="auto" w:fill="4472C4" w:themeFill="accent1"/>
          </w:tcPr>
          <w:p w14:paraId="46A0DB60" w14:textId="325EA864" w:rsidR="007A0D2F" w:rsidRPr="002806A6" w:rsidRDefault="007A0D2F" w:rsidP="00E11B4D">
            <w:pPr>
              <w:spacing w:line="240" w:lineRule="auto"/>
              <w:rPr>
                <w:b/>
                <w:bCs/>
                <w:sz w:val="16"/>
                <w:szCs w:val="16"/>
              </w:rPr>
            </w:pPr>
            <w:r w:rsidRPr="002806A6">
              <w:rPr>
                <w:b/>
                <w:bCs/>
                <w:sz w:val="16"/>
                <w:szCs w:val="16"/>
              </w:rPr>
              <w:t xml:space="preserve">Section </w:t>
            </w:r>
            <w:r w:rsidR="001347C9">
              <w:rPr>
                <w:b/>
                <w:bCs/>
                <w:sz w:val="16"/>
                <w:szCs w:val="16"/>
              </w:rPr>
              <w:t>9</w:t>
            </w:r>
          </w:p>
        </w:tc>
        <w:tc>
          <w:tcPr>
            <w:tcW w:w="1134" w:type="dxa"/>
            <w:shd w:val="clear" w:color="auto" w:fill="4472C4" w:themeFill="accent1"/>
          </w:tcPr>
          <w:p w14:paraId="240CCC51" w14:textId="4A8455F2"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1A06FC1F" w14:textId="51E1F456"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1902E9AF"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1FCBAFCC" w14:textId="77777777" w:rsidR="007A0D2F" w:rsidRPr="00F0112B" w:rsidRDefault="007A0D2F" w:rsidP="00E11B4D">
            <w:pPr>
              <w:spacing w:line="240" w:lineRule="auto"/>
              <w:rPr>
                <w:rFonts w:cstheme="minorHAnsi"/>
                <w:sz w:val="20"/>
                <w:szCs w:val="20"/>
              </w:rPr>
            </w:pPr>
          </w:p>
        </w:tc>
      </w:tr>
      <w:tr w:rsidR="007A0D2F" w14:paraId="16CCEEA9" w14:textId="77777777" w:rsidTr="00E8468B">
        <w:trPr>
          <w:jc w:val="center"/>
        </w:trPr>
        <w:tc>
          <w:tcPr>
            <w:tcW w:w="3256" w:type="dxa"/>
          </w:tcPr>
          <w:p w14:paraId="35FFFDD2" w14:textId="77777777" w:rsidR="007A0D2F" w:rsidRDefault="00E9685B" w:rsidP="00E11B4D">
            <w:pPr>
              <w:spacing w:line="240" w:lineRule="auto"/>
              <w:rPr>
                <w:b/>
                <w:bCs/>
                <w:sz w:val="20"/>
                <w:szCs w:val="20"/>
              </w:rPr>
            </w:pPr>
            <w:r>
              <w:rPr>
                <w:b/>
                <w:bCs/>
                <w:sz w:val="20"/>
                <w:szCs w:val="20"/>
              </w:rPr>
              <w:t>Good hearing and vision including accurate colour vision.</w:t>
            </w:r>
          </w:p>
          <w:p w14:paraId="5A610E34" w14:textId="5875C019" w:rsidR="00E9685B" w:rsidRPr="00E9685B" w:rsidRDefault="00E9685B" w:rsidP="00E11B4D">
            <w:pPr>
              <w:spacing w:line="240" w:lineRule="auto"/>
              <w:rPr>
                <w:sz w:val="20"/>
                <w:szCs w:val="20"/>
              </w:rPr>
            </w:pPr>
            <w:r>
              <w:rPr>
                <w:sz w:val="20"/>
                <w:szCs w:val="20"/>
              </w:rPr>
              <w:t xml:space="preserve">Some aspects of this role may have safety critical features such as visual or audible alarms or colour coded </w:t>
            </w:r>
            <w:r>
              <w:rPr>
                <w:sz w:val="20"/>
                <w:szCs w:val="20"/>
              </w:rPr>
              <w:lastRenderedPageBreak/>
              <w:t>components.  Many roles include the necessity to accurately read patient written or electronic information quickly and in pressured situations.</w:t>
            </w:r>
          </w:p>
        </w:tc>
        <w:tc>
          <w:tcPr>
            <w:tcW w:w="1134" w:type="dxa"/>
          </w:tcPr>
          <w:p w14:paraId="586AC525" w14:textId="68877152" w:rsidR="007A0D2F" w:rsidRPr="002806A6" w:rsidRDefault="00180068" w:rsidP="00A0260A">
            <w:pPr>
              <w:spacing w:line="240" w:lineRule="auto"/>
              <w:jc w:val="center"/>
              <w:rPr>
                <w:b/>
                <w:bCs/>
                <w:sz w:val="16"/>
                <w:szCs w:val="16"/>
              </w:rPr>
            </w:pPr>
            <w:sdt>
              <w:sdtPr>
                <w:rPr>
                  <w:rFonts w:cstheme="minorHAnsi"/>
                  <w:sz w:val="20"/>
                  <w:szCs w:val="20"/>
                </w:rPr>
                <w:id w:val="1216318823"/>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1319F7A2" w14:textId="2D90BA18" w:rsidR="007A0D2F" w:rsidRPr="002806A6" w:rsidRDefault="00180068" w:rsidP="00A0260A">
            <w:pPr>
              <w:spacing w:line="240" w:lineRule="auto"/>
              <w:jc w:val="center"/>
              <w:rPr>
                <w:b/>
                <w:bCs/>
                <w:sz w:val="16"/>
                <w:szCs w:val="16"/>
              </w:rPr>
            </w:pPr>
            <w:sdt>
              <w:sdtPr>
                <w:rPr>
                  <w:rFonts w:cstheme="minorHAnsi"/>
                  <w:sz w:val="20"/>
                  <w:szCs w:val="20"/>
                </w:rPr>
                <w:id w:val="-125082420"/>
                <w14:checkbox>
                  <w14:checked w14:val="0"/>
                  <w14:checkedState w14:val="2612" w14:font="MS Gothic"/>
                  <w14:uncheckedState w14:val="2610" w14:font="MS Gothic"/>
                </w14:checkbox>
              </w:sdtPr>
              <w:sdtEndPr/>
              <w:sdtContent>
                <w:r w:rsidR="007A0D2F" w:rsidRPr="00F0112B">
                  <w:rPr>
                    <w:rFonts w:ascii="Segoe UI Symbol" w:eastAsia="MS Gothic" w:hAnsi="Segoe UI Symbol" w:cs="Segoe UI Symbol"/>
                    <w:sz w:val="20"/>
                    <w:szCs w:val="20"/>
                  </w:rPr>
                  <w:t>☐</w:t>
                </w:r>
              </w:sdtContent>
            </w:sdt>
          </w:p>
        </w:tc>
        <w:tc>
          <w:tcPr>
            <w:tcW w:w="4678" w:type="dxa"/>
          </w:tcPr>
          <w:p w14:paraId="714F0E71" w14:textId="5D9F30FF" w:rsidR="007A0D2F" w:rsidRDefault="00E9685B" w:rsidP="00E11B4D">
            <w:pPr>
              <w:spacing w:line="240" w:lineRule="auto"/>
              <w:rPr>
                <w:rFonts w:cstheme="minorHAnsi"/>
                <w:sz w:val="20"/>
                <w:szCs w:val="20"/>
              </w:rPr>
            </w:pPr>
            <w:r>
              <w:rPr>
                <w:rFonts w:cstheme="minorHAnsi"/>
                <w:sz w:val="20"/>
                <w:szCs w:val="20"/>
              </w:rPr>
              <w:t xml:space="preserve">Sensory problems i.e. hearing, sight (not corrected by spectacles, lenses, or hearing aids), which may include colour blindness, detached retina, macular </w:t>
            </w:r>
            <w:r w:rsidR="00C1700B">
              <w:rPr>
                <w:rFonts w:cstheme="minorHAnsi"/>
                <w:sz w:val="20"/>
                <w:szCs w:val="20"/>
              </w:rPr>
              <w:t>degeneration,</w:t>
            </w:r>
            <w:r>
              <w:rPr>
                <w:rFonts w:cstheme="minorHAnsi"/>
                <w:sz w:val="20"/>
                <w:szCs w:val="20"/>
              </w:rPr>
              <w:t xml:space="preserve"> or profound hearing loss.</w:t>
            </w:r>
          </w:p>
          <w:p w14:paraId="663DB780" w14:textId="70F6A30F" w:rsidR="00E9685B" w:rsidRPr="00F0112B" w:rsidRDefault="00E9685B" w:rsidP="00E11B4D">
            <w:pPr>
              <w:spacing w:line="240" w:lineRule="auto"/>
              <w:rPr>
                <w:rFonts w:cstheme="minorHAnsi"/>
                <w:sz w:val="20"/>
                <w:szCs w:val="20"/>
              </w:rPr>
            </w:pPr>
            <w:r>
              <w:rPr>
                <w:rFonts w:cstheme="minorHAnsi"/>
                <w:sz w:val="20"/>
                <w:szCs w:val="20"/>
              </w:rPr>
              <w:lastRenderedPageBreak/>
              <w:t>Dyslexia and other learning difficulties, can pose additional problems for computing and reading or recording complex health information and additional specialist support may be required.</w:t>
            </w:r>
          </w:p>
        </w:tc>
        <w:tc>
          <w:tcPr>
            <w:tcW w:w="4252" w:type="dxa"/>
          </w:tcPr>
          <w:p w14:paraId="6D8D9C49" w14:textId="7AC6A050" w:rsidR="007A0D2F" w:rsidRDefault="00E9685B" w:rsidP="00E11B4D">
            <w:pPr>
              <w:spacing w:line="240" w:lineRule="auto"/>
              <w:rPr>
                <w:rFonts w:cstheme="minorHAnsi"/>
                <w:sz w:val="20"/>
                <w:szCs w:val="20"/>
              </w:rPr>
            </w:pPr>
            <w:r>
              <w:rPr>
                <w:rFonts w:cstheme="minorHAnsi"/>
                <w:sz w:val="20"/>
                <w:szCs w:val="20"/>
              </w:rPr>
              <w:lastRenderedPageBreak/>
              <w:t>EHW will advised the line manager on the requirement for a specialist assessment should this be required for any sensory deficit that may impact on patient or employee safety, e.g. audio/colour vision/vision.</w:t>
            </w:r>
          </w:p>
          <w:p w14:paraId="0A4F7150" w14:textId="77777777" w:rsidR="00E9685B" w:rsidRDefault="00E9685B" w:rsidP="00E11B4D">
            <w:pPr>
              <w:spacing w:line="240" w:lineRule="auto"/>
              <w:rPr>
                <w:rFonts w:cstheme="minorHAnsi"/>
                <w:sz w:val="20"/>
                <w:szCs w:val="20"/>
              </w:rPr>
            </w:pPr>
            <w:r>
              <w:rPr>
                <w:rFonts w:cstheme="minorHAnsi"/>
                <w:sz w:val="20"/>
                <w:szCs w:val="20"/>
              </w:rPr>
              <w:lastRenderedPageBreak/>
              <w:t>Individuals can contact Access to Work for advice.  If required, they will undertake an assessment of needs which may include provision of specialist equipment.</w:t>
            </w:r>
          </w:p>
          <w:p w14:paraId="68B5856F" w14:textId="54638E1A" w:rsidR="004D4593" w:rsidRPr="00F0112B" w:rsidRDefault="004D4593" w:rsidP="00E11B4D">
            <w:pPr>
              <w:spacing w:line="240" w:lineRule="auto"/>
              <w:rPr>
                <w:rFonts w:cstheme="minorHAnsi"/>
                <w:sz w:val="20"/>
                <w:szCs w:val="20"/>
              </w:rPr>
            </w:pPr>
          </w:p>
        </w:tc>
      </w:tr>
      <w:tr w:rsidR="007A0D2F" w14:paraId="3B90B53E" w14:textId="77777777" w:rsidTr="00E8468B">
        <w:trPr>
          <w:trHeight w:hRule="exact" w:val="227"/>
          <w:jc w:val="center"/>
        </w:trPr>
        <w:tc>
          <w:tcPr>
            <w:tcW w:w="3256" w:type="dxa"/>
            <w:shd w:val="clear" w:color="auto" w:fill="4472C4" w:themeFill="accent1"/>
          </w:tcPr>
          <w:p w14:paraId="4492B664" w14:textId="5D2B3F55" w:rsidR="007A0D2F" w:rsidRPr="002806A6" w:rsidRDefault="007A0D2F" w:rsidP="00E11B4D">
            <w:pPr>
              <w:spacing w:line="240" w:lineRule="auto"/>
              <w:rPr>
                <w:b/>
                <w:bCs/>
                <w:sz w:val="16"/>
                <w:szCs w:val="16"/>
              </w:rPr>
            </w:pPr>
            <w:r w:rsidRPr="002806A6">
              <w:rPr>
                <w:b/>
                <w:bCs/>
                <w:sz w:val="16"/>
                <w:szCs w:val="16"/>
              </w:rPr>
              <w:lastRenderedPageBreak/>
              <w:t>Section 1</w:t>
            </w:r>
            <w:r w:rsidR="001347C9">
              <w:rPr>
                <w:b/>
                <w:bCs/>
                <w:sz w:val="16"/>
                <w:szCs w:val="16"/>
              </w:rPr>
              <w:t>0</w:t>
            </w:r>
          </w:p>
        </w:tc>
        <w:tc>
          <w:tcPr>
            <w:tcW w:w="1134" w:type="dxa"/>
            <w:shd w:val="clear" w:color="auto" w:fill="4472C4" w:themeFill="accent1"/>
          </w:tcPr>
          <w:p w14:paraId="4B6BE87A" w14:textId="17ED0485"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05C27B79" w14:textId="7AD31125"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11077AB2"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66FAB8CE" w14:textId="77777777" w:rsidR="007A0D2F" w:rsidRPr="00F0112B" w:rsidRDefault="007A0D2F" w:rsidP="00E11B4D">
            <w:pPr>
              <w:spacing w:line="240" w:lineRule="auto"/>
              <w:rPr>
                <w:rFonts w:cstheme="minorHAnsi"/>
                <w:sz w:val="20"/>
                <w:szCs w:val="20"/>
              </w:rPr>
            </w:pPr>
          </w:p>
        </w:tc>
      </w:tr>
      <w:tr w:rsidR="007A0D2F" w14:paraId="686330D7" w14:textId="77777777" w:rsidTr="00E8468B">
        <w:trPr>
          <w:jc w:val="center"/>
        </w:trPr>
        <w:tc>
          <w:tcPr>
            <w:tcW w:w="3256" w:type="dxa"/>
          </w:tcPr>
          <w:p w14:paraId="4BAEBAD3" w14:textId="23445E72" w:rsidR="007A0D2F" w:rsidRPr="00E9685B" w:rsidRDefault="00E9685B" w:rsidP="00E11B4D">
            <w:pPr>
              <w:spacing w:line="240" w:lineRule="auto"/>
              <w:rPr>
                <w:b/>
                <w:bCs/>
                <w:sz w:val="20"/>
                <w:szCs w:val="20"/>
              </w:rPr>
            </w:pPr>
            <w:r>
              <w:rPr>
                <w:b/>
                <w:bCs/>
                <w:sz w:val="20"/>
                <w:szCs w:val="20"/>
              </w:rPr>
              <w:t xml:space="preserve">Working with chemicals, substances or work processes that can affect the skin or respiratory system, including wet work, use of latex gloves or skin and respiratory irritants or sensitisers. </w:t>
            </w:r>
          </w:p>
        </w:tc>
        <w:tc>
          <w:tcPr>
            <w:tcW w:w="1134" w:type="dxa"/>
          </w:tcPr>
          <w:p w14:paraId="094219C8" w14:textId="11623DF4" w:rsidR="007A0D2F" w:rsidRPr="002806A6" w:rsidRDefault="00180068" w:rsidP="00A0260A">
            <w:pPr>
              <w:spacing w:line="240" w:lineRule="auto"/>
              <w:jc w:val="center"/>
              <w:rPr>
                <w:b/>
                <w:bCs/>
                <w:sz w:val="16"/>
                <w:szCs w:val="16"/>
              </w:rPr>
            </w:pPr>
            <w:sdt>
              <w:sdtPr>
                <w:rPr>
                  <w:rFonts w:cstheme="minorHAnsi"/>
                  <w:sz w:val="20"/>
                  <w:szCs w:val="20"/>
                </w:rPr>
                <w:id w:val="678007763"/>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992" w:type="dxa"/>
          </w:tcPr>
          <w:p w14:paraId="47E3BB10" w14:textId="2069C199" w:rsidR="007A0D2F" w:rsidRPr="002806A6" w:rsidRDefault="00180068" w:rsidP="00A0260A">
            <w:pPr>
              <w:spacing w:line="240" w:lineRule="auto"/>
              <w:jc w:val="center"/>
              <w:rPr>
                <w:b/>
                <w:bCs/>
                <w:sz w:val="16"/>
                <w:szCs w:val="16"/>
              </w:rPr>
            </w:pPr>
            <w:sdt>
              <w:sdtPr>
                <w:rPr>
                  <w:rFonts w:cstheme="minorHAnsi"/>
                  <w:sz w:val="20"/>
                  <w:szCs w:val="20"/>
                </w:rPr>
                <w:id w:val="1721014149"/>
                <w14:checkbox>
                  <w14:checked w14:val="0"/>
                  <w14:checkedState w14:val="2612" w14:font="MS Gothic"/>
                  <w14:uncheckedState w14:val="2610" w14:font="MS Gothic"/>
                </w14:checkbox>
              </w:sdtPr>
              <w:sdtEndPr/>
              <w:sdtContent>
                <w:r w:rsidR="007A0D2F" w:rsidRPr="00F0112B">
                  <w:rPr>
                    <w:rFonts w:ascii="Segoe UI Symbol" w:eastAsia="MS Gothic" w:hAnsi="Segoe UI Symbol" w:cs="Segoe UI Symbol"/>
                    <w:sz w:val="20"/>
                    <w:szCs w:val="20"/>
                  </w:rPr>
                  <w:t>☐</w:t>
                </w:r>
              </w:sdtContent>
            </w:sdt>
          </w:p>
        </w:tc>
        <w:tc>
          <w:tcPr>
            <w:tcW w:w="4678" w:type="dxa"/>
          </w:tcPr>
          <w:p w14:paraId="714C75B1" w14:textId="1A68C2A4" w:rsidR="007A0D2F" w:rsidRDefault="00E9685B" w:rsidP="00E11B4D">
            <w:pPr>
              <w:spacing w:line="240" w:lineRule="auto"/>
              <w:rPr>
                <w:rFonts w:cstheme="minorHAnsi"/>
                <w:sz w:val="20"/>
                <w:szCs w:val="20"/>
              </w:rPr>
            </w:pPr>
            <w:r>
              <w:rPr>
                <w:rFonts w:cstheme="minorHAnsi"/>
                <w:sz w:val="20"/>
                <w:szCs w:val="20"/>
              </w:rPr>
              <w:t xml:space="preserve">Skin conditions i.e. eczema, dermatitis, allergies, or psoriasis.  Asthma, chronic obstructive pulmonary </w:t>
            </w:r>
            <w:r w:rsidR="00C1700B">
              <w:rPr>
                <w:rFonts w:cstheme="minorHAnsi"/>
                <w:sz w:val="20"/>
                <w:szCs w:val="20"/>
              </w:rPr>
              <w:t>disorder,</w:t>
            </w:r>
            <w:r>
              <w:rPr>
                <w:rFonts w:cstheme="minorHAnsi"/>
                <w:sz w:val="20"/>
                <w:szCs w:val="20"/>
              </w:rPr>
              <w:t xml:space="preserve"> or other respiratory conditions.</w:t>
            </w:r>
          </w:p>
          <w:p w14:paraId="068C3181" w14:textId="135602F9" w:rsidR="00E9685B" w:rsidRPr="00F0112B" w:rsidRDefault="00896126" w:rsidP="00E11B4D">
            <w:pPr>
              <w:spacing w:line="240" w:lineRule="auto"/>
              <w:rPr>
                <w:rFonts w:cstheme="minorHAnsi"/>
                <w:sz w:val="20"/>
                <w:szCs w:val="20"/>
              </w:rPr>
            </w:pPr>
            <w:r>
              <w:rPr>
                <w:rFonts w:cstheme="minorHAnsi"/>
                <w:sz w:val="20"/>
                <w:szCs w:val="20"/>
              </w:rPr>
              <w:t>Working with broken skin on hands or arms is an infection control risk when working with patients or specimens.</w:t>
            </w:r>
          </w:p>
        </w:tc>
        <w:tc>
          <w:tcPr>
            <w:tcW w:w="4252" w:type="dxa"/>
          </w:tcPr>
          <w:p w14:paraId="05E12276" w14:textId="77777777" w:rsidR="007A0D2F" w:rsidRDefault="00896126" w:rsidP="00E11B4D">
            <w:pPr>
              <w:spacing w:line="240" w:lineRule="auto"/>
              <w:rPr>
                <w:rFonts w:cstheme="minorHAnsi"/>
                <w:sz w:val="20"/>
                <w:szCs w:val="20"/>
              </w:rPr>
            </w:pPr>
            <w:r>
              <w:rPr>
                <w:rFonts w:cstheme="minorHAnsi"/>
                <w:sz w:val="20"/>
                <w:szCs w:val="20"/>
              </w:rPr>
              <w:t>Those with pre-existing skin problems will require skin surveillance prior to being passed fit and may need adjustments.  Alternatives to soap can be provided to accommodate skin issues, and advice provided regarding general skin care.  Temporary adjustments can be made for those with broken skin on their hands.</w:t>
            </w:r>
          </w:p>
          <w:p w14:paraId="4B53C96D" w14:textId="2A9BB597" w:rsidR="00896126" w:rsidRPr="00F0112B" w:rsidRDefault="00896126" w:rsidP="00E11B4D">
            <w:pPr>
              <w:spacing w:line="240" w:lineRule="auto"/>
              <w:rPr>
                <w:rFonts w:cstheme="minorHAnsi"/>
                <w:sz w:val="20"/>
                <w:szCs w:val="20"/>
              </w:rPr>
            </w:pPr>
            <w:r>
              <w:rPr>
                <w:rFonts w:cstheme="minorHAnsi"/>
                <w:sz w:val="20"/>
                <w:szCs w:val="20"/>
              </w:rPr>
              <w:t>Restrictions or additional precautions may be advised for those individuals suffering from respiratory conditions which could be exacerbated by exposure to certain substances.</w:t>
            </w:r>
          </w:p>
        </w:tc>
      </w:tr>
      <w:tr w:rsidR="007A0D2F" w14:paraId="6BC38F4F" w14:textId="77777777" w:rsidTr="00E8468B">
        <w:trPr>
          <w:trHeight w:hRule="exact" w:val="227"/>
          <w:jc w:val="center"/>
        </w:trPr>
        <w:tc>
          <w:tcPr>
            <w:tcW w:w="3256" w:type="dxa"/>
            <w:shd w:val="clear" w:color="auto" w:fill="4472C4" w:themeFill="accent1"/>
          </w:tcPr>
          <w:p w14:paraId="626A1FC4" w14:textId="595129EC" w:rsidR="007A0D2F" w:rsidRPr="002806A6" w:rsidRDefault="007A0D2F" w:rsidP="00E11B4D">
            <w:pPr>
              <w:spacing w:line="240" w:lineRule="auto"/>
              <w:rPr>
                <w:b/>
                <w:bCs/>
                <w:sz w:val="16"/>
                <w:szCs w:val="16"/>
              </w:rPr>
            </w:pPr>
            <w:r w:rsidRPr="002806A6">
              <w:rPr>
                <w:b/>
                <w:bCs/>
                <w:sz w:val="16"/>
                <w:szCs w:val="16"/>
              </w:rPr>
              <w:t>Section 1</w:t>
            </w:r>
            <w:r w:rsidR="001347C9">
              <w:rPr>
                <w:b/>
                <w:bCs/>
                <w:sz w:val="16"/>
                <w:szCs w:val="16"/>
              </w:rPr>
              <w:t>1</w:t>
            </w:r>
          </w:p>
        </w:tc>
        <w:tc>
          <w:tcPr>
            <w:tcW w:w="1134" w:type="dxa"/>
            <w:shd w:val="clear" w:color="auto" w:fill="4472C4" w:themeFill="accent1"/>
          </w:tcPr>
          <w:p w14:paraId="1C519E49" w14:textId="78239E4F" w:rsidR="007A0D2F" w:rsidRPr="002806A6" w:rsidRDefault="007A0D2F" w:rsidP="00A0260A">
            <w:pPr>
              <w:spacing w:line="240" w:lineRule="auto"/>
              <w:jc w:val="center"/>
              <w:rPr>
                <w:b/>
                <w:bCs/>
                <w:sz w:val="16"/>
                <w:szCs w:val="16"/>
              </w:rPr>
            </w:pPr>
            <w:r w:rsidRPr="002806A6">
              <w:rPr>
                <w:b/>
                <w:bCs/>
                <w:sz w:val="16"/>
                <w:szCs w:val="16"/>
              </w:rPr>
              <w:t>Yes</w:t>
            </w:r>
          </w:p>
        </w:tc>
        <w:tc>
          <w:tcPr>
            <w:tcW w:w="992" w:type="dxa"/>
            <w:shd w:val="clear" w:color="auto" w:fill="4472C4" w:themeFill="accent1"/>
          </w:tcPr>
          <w:p w14:paraId="02322892" w14:textId="097D3124" w:rsidR="007A0D2F" w:rsidRPr="002806A6" w:rsidRDefault="007A0D2F" w:rsidP="00A0260A">
            <w:pPr>
              <w:spacing w:line="240" w:lineRule="auto"/>
              <w:jc w:val="center"/>
              <w:rPr>
                <w:b/>
                <w:bCs/>
                <w:sz w:val="16"/>
                <w:szCs w:val="16"/>
              </w:rPr>
            </w:pPr>
            <w:r w:rsidRPr="002806A6">
              <w:rPr>
                <w:b/>
                <w:bCs/>
                <w:sz w:val="16"/>
                <w:szCs w:val="16"/>
              </w:rPr>
              <w:t>No</w:t>
            </w:r>
          </w:p>
        </w:tc>
        <w:tc>
          <w:tcPr>
            <w:tcW w:w="4678" w:type="dxa"/>
            <w:shd w:val="clear" w:color="auto" w:fill="4472C4" w:themeFill="accent1"/>
          </w:tcPr>
          <w:p w14:paraId="594B188B" w14:textId="77777777" w:rsidR="007A0D2F" w:rsidRPr="00F0112B" w:rsidRDefault="007A0D2F" w:rsidP="00E11B4D">
            <w:pPr>
              <w:spacing w:line="240" w:lineRule="auto"/>
              <w:rPr>
                <w:rFonts w:cstheme="minorHAnsi"/>
                <w:sz w:val="20"/>
                <w:szCs w:val="20"/>
              </w:rPr>
            </w:pPr>
          </w:p>
        </w:tc>
        <w:tc>
          <w:tcPr>
            <w:tcW w:w="4252" w:type="dxa"/>
            <w:shd w:val="clear" w:color="auto" w:fill="4472C4" w:themeFill="accent1"/>
          </w:tcPr>
          <w:p w14:paraId="30F96C7C" w14:textId="77777777" w:rsidR="007A0D2F" w:rsidRPr="00F0112B" w:rsidRDefault="007A0D2F" w:rsidP="00E11B4D">
            <w:pPr>
              <w:spacing w:line="240" w:lineRule="auto"/>
              <w:rPr>
                <w:rFonts w:cstheme="minorHAnsi"/>
                <w:sz w:val="20"/>
                <w:szCs w:val="20"/>
              </w:rPr>
            </w:pPr>
          </w:p>
        </w:tc>
      </w:tr>
      <w:tr w:rsidR="007A0D2F" w14:paraId="75A2E371" w14:textId="77777777" w:rsidTr="00E8468B">
        <w:trPr>
          <w:jc w:val="center"/>
        </w:trPr>
        <w:tc>
          <w:tcPr>
            <w:tcW w:w="3256" w:type="dxa"/>
          </w:tcPr>
          <w:p w14:paraId="2710C89C" w14:textId="722A60A8" w:rsidR="007A0D2F" w:rsidRPr="00896126" w:rsidRDefault="00896126" w:rsidP="00E11B4D">
            <w:pPr>
              <w:spacing w:line="240" w:lineRule="auto"/>
              <w:rPr>
                <w:b/>
                <w:bCs/>
                <w:sz w:val="20"/>
                <w:szCs w:val="20"/>
              </w:rPr>
            </w:pPr>
            <w:r w:rsidRPr="00896126">
              <w:rPr>
                <w:b/>
                <w:bCs/>
                <w:sz w:val="20"/>
                <w:szCs w:val="20"/>
              </w:rPr>
              <w:t>Drive vehicles as part of their duties.</w:t>
            </w:r>
          </w:p>
        </w:tc>
        <w:tc>
          <w:tcPr>
            <w:tcW w:w="1134" w:type="dxa"/>
          </w:tcPr>
          <w:p w14:paraId="49ECCF2E" w14:textId="20A51EFC" w:rsidR="007A0D2F" w:rsidRPr="002806A6" w:rsidRDefault="00180068" w:rsidP="00A0260A">
            <w:pPr>
              <w:spacing w:line="240" w:lineRule="auto"/>
              <w:jc w:val="center"/>
              <w:rPr>
                <w:b/>
                <w:bCs/>
                <w:sz w:val="16"/>
                <w:szCs w:val="16"/>
              </w:rPr>
            </w:pPr>
            <w:sdt>
              <w:sdtPr>
                <w:rPr>
                  <w:rFonts w:cstheme="minorHAnsi"/>
                  <w:sz w:val="20"/>
                  <w:szCs w:val="20"/>
                </w:rPr>
                <w:id w:val="-806554149"/>
                <w14:checkbox>
                  <w14:checked w14:val="0"/>
                  <w14:checkedState w14:val="2612" w14:font="MS Gothic"/>
                  <w14:uncheckedState w14:val="2610" w14:font="MS Gothic"/>
                </w14:checkbox>
              </w:sdtPr>
              <w:sdtEndPr/>
              <w:sdtContent>
                <w:r w:rsidR="007A0D2F">
                  <w:rPr>
                    <w:rFonts w:ascii="MS Gothic" w:eastAsia="MS Gothic" w:hAnsi="MS Gothic" w:cstheme="minorHAnsi" w:hint="eastAsia"/>
                    <w:sz w:val="20"/>
                    <w:szCs w:val="20"/>
                  </w:rPr>
                  <w:t>☐</w:t>
                </w:r>
              </w:sdtContent>
            </w:sdt>
          </w:p>
        </w:tc>
        <w:tc>
          <w:tcPr>
            <w:tcW w:w="992" w:type="dxa"/>
          </w:tcPr>
          <w:p w14:paraId="1CD4EEA1" w14:textId="7BB5AF84" w:rsidR="007A0D2F" w:rsidRPr="002806A6" w:rsidRDefault="00180068" w:rsidP="00A0260A">
            <w:pPr>
              <w:spacing w:line="240" w:lineRule="auto"/>
              <w:jc w:val="center"/>
              <w:rPr>
                <w:b/>
                <w:bCs/>
                <w:sz w:val="16"/>
                <w:szCs w:val="16"/>
              </w:rPr>
            </w:pPr>
            <w:sdt>
              <w:sdtPr>
                <w:rPr>
                  <w:rFonts w:cstheme="minorHAnsi"/>
                  <w:sz w:val="20"/>
                  <w:szCs w:val="20"/>
                </w:rPr>
                <w:id w:val="799887218"/>
                <w14:checkbox>
                  <w14:checked w14:val="1"/>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c>
          <w:tcPr>
            <w:tcW w:w="4678" w:type="dxa"/>
          </w:tcPr>
          <w:p w14:paraId="16A56832" w14:textId="77777777" w:rsidR="007A0D2F" w:rsidRDefault="00896126" w:rsidP="00E11B4D">
            <w:pPr>
              <w:spacing w:line="240" w:lineRule="auto"/>
              <w:rPr>
                <w:rFonts w:cstheme="minorHAnsi"/>
                <w:color w:val="FF0000"/>
                <w:sz w:val="20"/>
                <w:szCs w:val="20"/>
              </w:rPr>
            </w:pPr>
            <w:r>
              <w:rPr>
                <w:rFonts w:cstheme="minorHAnsi"/>
                <w:color w:val="FF0000"/>
                <w:sz w:val="20"/>
                <w:szCs w:val="20"/>
              </w:rPr>
              <w:t>Candidates must declare if:</w:t>
            </w:r>
          </w:p>
          <w:p w14:paraId="42FCBD31" w14:textId="77777777" w:rsidR="00896126" w:rsidRDefault="00896126" w:rsidP="00E11B4D">
            <w:pPr>
              <w:pStyle w:val="ListParagraph"/>
              <w:numPr>
                <w:ilvl w:val="0"/>
                <w:numId w:val="6"/>
              </w:numPr>
              <w:spacing w:line="240" w:lineRule="auto"/>
              <w:ind w:left="454" w:hanging="425"/>
              <w:rPr>
                <w:rFonts w:cstheme="minorHAnsi"/>
                <w:sz w:val="20"/>
                <w:szCs w:val="20"/>
              </w:rPr>
            </w:pPr>
            <w:r>
              <w:rPr>
                <w:rFonts w:cstheme="minorHAnsi"/>
                <w:sz w:val="20"/>
                <w:szCs w:val="20"/>
              </w:rPr>
              <w:t>They have been advised by their GP or specialist that they must refrain from driving</w:t>
            </w:r>
          </w:p>
          <w:p w14:paraId="27AE5291" w14:textId="77777777" w:rsidR="00896126" w:rsidRDefault="00896126" w:rsidP="00E11B4D">
            <w:pPr>
              <w:pStyle w:val="ListParagraph"/>
              <w:numPr>
                <w:ilvl w:val="0"/>
                <w:numId w:val="6"/>
              </w:numPr>
              <w:spacing w:line="240" w:lineRule="auto"/>
              <w:ind w:left="454" w:hanging="425"/>
              <w:rPr>
                <w:rFonts w:cstheme="minorHAnsi"/>
                <w:sz w:val="20"/>
                <w:szCs w:val="20"/>
              </w:rPr>
            </w:pPr>
            <w:r>
              <w:rPr>
                <w:rFonts w:cstheme="minorHAnsi"/>
                <w:sz w:val="20"/>
                <w:szCs w:val="20"/>
              </w:rPr>
              <w:t>The DVLA have revoked their driving license</w:t>
            </w:r>
          </w:p>
          <w:p w14:paraId="2FD364F1" w14:textId="7616EC68" w:rsidR="00896126" w:rsidRPr="00896126" w:rsidRDefault="00896126" w:rsidP="00E11B4D">
            <w:pPr>
              <w:pStyle w:val="ListParagraph"/>
              <w:numPr>
                <w:ilvl w:val="0"/>
                <w:numId w:val="6"/>
              </w:numPr>
              <w:spacing w:line="240" w:lineRule="auto"/>
              <w:ind w:left="454" w:hanging="425"/>
              <w:rPr>
                <w:rFonts w:cstheme="minorHAnsi"/>
                <w:sz w:val="20"/>
                <w:szCs w:val="20"/>
              </w:rPr>
            </w:pPr>
            <w:r>
              <w:rPr>
                <w:rFonts w:cstheme="minorHAnsi"/>
                <w:sz w:val="20"/>
                <w:szCs w:val="20"/>
              </w:rPr>
              <w:t xml:space="preserve">They have a medical condition that may affect their ability to undertake driving duties that may put themselves, </w:t>
            </w:r>
            <w:r w:rsidR="00C1700B">
              <w:rPr>
                <w:rFonts w:cstheme="minorHAnsi"/>
                <w:sz w:val="20"/>
                <w:szCs w:val="20"/>
              </w:rPr>
              <w:t>patients,</w:t>
            </w:r>
            <w:r>
              <w:rPr>
                <w:rFonts w:cstheme="minorHAnsi"/>
                <w:sz w:val="20"/>
                <w:szCs w:val="20"/>
              </w:rPr>
              <w:t xml:space="preserve"> or members of the public at risk</w:t>
            </w:r>
          </w:p>
        </w:tc>
        <w:tc>
          <w:tcPr>
            <w:tcW w:w="4252" w:type="dxa"/>
          </w:tcPr>
          <w:p w14:paraId="447EE405" w14:textId="03071722" w:rsidR="007A0D2F" w:rsidRDefault="00896126" w:rsidP="00E11B4D">
            <w:pPr>
              <w:spacing w:line="240" w:lineRule="auto"/>
              <w:rPr>
                <w:rFonts w:cstheme="minorHAnsi"/>
                <w:sz w:val="20"/>
                <w:szCs w:val="20"/>
              </w:rPr>
            </w:pPr>
            <w:r>
              <w:rPr>
                <w:rFonts w:cstheme="minorHAnsi"/>
                <w:sz w:val="20"/>
                <w:szCs w:val="20"/>
              </w:rPr>
              <w:t>Due to the medical requirements for drivers as set out by the DVLA, it is unlikely that adjustments or support can be put in place.</w:t>
            </w:r>
          </w:p>
          <w:p w14:paraId="5BD42BD8" w14:textId="1165A3A3" w:rsidR="00896126" w:rsidRPr="00F0112B" w:rsidRDefault="00896126" w:rsidP="00E11B4D">
            <w:pPr>
              <w:spacing w:line="240" w:lineRule="auto"/>
              <w:rPr>
                <w:rFonts w:cstheme="minorHAnsi"/>
                <w:sz w:val="20"/>
                <w:szCs w:val="20"/>
              </w:rPr>
            </w:pPr>
            <w:r>
              <w:rPr>
                <w:rFonts w:cstheme="minorHAnsi"/>
                <w:sz w:val="20"/>
                <w:szCs w:val="20"/>
              </w:rPr>
              <w:t>However, if you tick ‘yes’ to this section, an EHW adviser will contact you to discuss your health conditions in relation to fitness to drive.</w:t>
            </w:r>
          </w:p>
        </w:tc>
      </w:tr>
    </w:tbl>
    <w:p w14:paraId="6B482F08" w14:textId="77777777" w:rsidR="007B645C" w:rsidRDefault="007B645C" w:rsidP="005940D6"/>
    <w:p w14:paraId="6AD9BD44" w14:textId="0BCBCC61" w:rsidR="00896126" w:rsidRPr="0011204C" w:rsidRDefault="007B645C" w:rsidP="005940D6">
      <w:r>
        <w:br w:type="page"/>
      </w:r>
      <w:r w:rsidR="00896126">
        <w:lastRenderedPageBreak/>
        <w:t xml:space="preserve">Additional considerations for </w:t>
      </w:r>
      <w:r w:rsidR="00896126">
        <w:rPr>
          <w:b/>
          <w:bCs/>
        </w:rPr>
        <w:t>candidates:</w:t>
      </w:r>
      <w:r w:rsidR="00384E6F">
        <w:rPr>
          <w:b/>
          <w:bCs/>
        </w:rPr>
        <w:t xml:space="preserve"> </w:t>
      </w:r>
      <w:r w:rsidR="00896126">
        <w:rPr>
          <w:b/>
          <w:bCs/>
          <w:color w:val="FF0000"/>
        </w:rPr>
        <w:t>If any of the following apply, the candidate must declare this on the health declaration.</w:t>
      </w:r>
    </w:p>
    <w:tbl>
      <w:tblPr>
        <w:tblStyle w:val="TableGrid"/>
        <w:tblW w:w="14317" w:type="dxa"/>
        <w:tblInd w:w="-147" w:type="dxa"/>
        <w:tblLook w:val="04A0" w:firstRow="1" w:lastRow="0" w:firstColumn="1" w:lastColumn="0" w:noHBand="0" w:noVBand="1"/>
      </w:tblPr>
      <w:tblGrid>
        <w:gridCol w:w="2836"/>
        <w:gridCol w:w="4961"/>
        <w:gridCol w:w="6520"/>
      </w:tblGrid>
      <w:tr w:rsidR="00641DC5" w14:paraId="71E9EB39" w14:textId="77777777" w:rsidTr="008B5B89">
        <w:tc>
          <w:tcPr>
            <w:tcW w:w="2836" w:type="dxa"/>
            <w:vAlign w:val="center"/>
          </w:tcPr>
          <w:p w14:paraId="7C178B46" w14:textId="7AA7A3EC" w:rsidR="00641DC5" w:rsidRPr="00E8468B" w:rsidRDefault="00641DC5" w:rsidP="00641DC5">
            <w:pPr>
              <w:pStyle w:val="Heading1"/>
              <w:jc w:val="center"/>
              <w:outlineLvl w:val="0"/>
              <w:rPr>
                <w:b/>
                <w:bCs/>
                <w:color w:val="FF0000"/>
                <w:sz w:val="22"/>
                <w:szCs w:val="22"/>
              </w:rPr>
            </w:pPr>
            <w:r w:rsidRPr="00E8468B">
              <w:rPr>
                <w:b/>
                <w:bCs/>
                <w:sz w:val="22"/>
                <w:szCs w:val="22"/>
              </w:rPr>
              <w:t>Health Problem</w:t>
            </w:r>
          </w:p>
        </w:tc>
        <w:tc>
          <w:tcPr>
            <w:tcW w:w="4961" w:type="dxa"/>
            <w:vAlign w:val="center"/>
          </w:tcPr>
          <w:p w14:paraId="2E4703FA" w14:textId="6E4F20D9" w:rsidR="00641DC5" w:rsidRPr="00E8468B" w:rsidRDefault="00641DC5" w:rsidP="00641DC5">
            <w:pPr>
              <w:pStyle w:val="Heading1"/>
              <w:jc w:val="center"/>
              <w:outlineLvl w:val="0"/>
              <w:rPr>
                <w:b/>
                <w:bCs/>
                <w:color w:val="FF0000"/>
                <w:sz w:val="22"/>
                <w:szCs w:val="22"/>
              </w:rPr>
            </w:pPr>
            <w:r w:rsidRPr="00E8468B">
              <w:rPr>
                <w:b/>
                <w:bCs/>
                <w:sz w:val="22"/>
                <w:szCs w:val="22"/>
              </w:rPr>
              <w:t>Impact on Work</w:t>
            </w:r>
          </w:p>
        </w:tc>
        <w:tc>
          <w:tcPr>
            <w:tcW w:w="6520" w:type="dxa"/>
            <w:vAlign w:val="center"/>
          </w:tcPr>
          <w:p w14:paraId="757057EC" w14:textId="25FEBA32" w:rsidR="00641DC5" w:rsidRPr="00E8468B" w:rsidRDefault="00641DC5" w:rsidP="00641DC5">
            <w:pPr>
              <w:pStyle w:val="Heading1"/>
              <w:jc w:val="center"/>
              <w:outlineLvl w:val="0"/>
              <w:rPr>
                <w:b/>
                <w:bCs/>
                <w:color w:val="FF0000"/>
                <w:sz w:val="22"/>
                <w:szCs w:val="22"/>
              </w:rPr>
            </w:pPr>
            <w:r w:rsidRPr="00E8468B">
              <w:rPr>
                <w:b/>
                <w:bCs/>
                <w:sz w:val="22"/>
                <w:szCs w:val="22"/>
              </w:rPr>
              <w:t>Adjustments/Support</w:t>
            </w:r>
          </w:p>
        </w:tc>
      </w:tr>
      <w:tr w:rsidR="00896126" w14:paraId="0ACD9001" w14:textId="77777777" w:rsidTr="008B5B89">
        <w:tc>
          <w:tcPr>
            <w:tcW w:w="2836" w:type="dxa"/>
          </w:tcPr>
          <w:p w14:paraId="35F1D887" w14:textId="7C4311EF" w:rsidR="00896126" w:rsidRPr="00641DC5" w:rsidRDefault="00641DC5" w:rsidP="005940D6">
            <w:pPr>
              <w:rPr>
                <w:b/>
                <w:bCs/>
                <w:sz w:val="20"/>
                <w:szCs w:val="20"/>
              </w:rPr>
            </w:pPr>
            <w:r w:rsidRPr="00641DC5">
              <w:rPr>
                <w:b/>
                <w:bCs/>
                <w:sz w:val="20"/>
                <w:szCs w:val="20"/>
              </w:rPr>
              <w:t>Health conditions that may impact on ability to perform role</w:t>
            </w:r>
          </w:p>
        </w:tc>
        <w:tc>
          <w:tcPr>
            <w:tcW w:w="4961" w:type="dxa"/>
          </w:tcPr>
          <w:p w14:paraId="1A0C7F66" w14:textId="73F6E519" w:rsidR="00896126" w:rsidRPr="00B77AC2" w:rsidRDefault="00641DC5" w:rsidP="005940D6">
            <w:pPr>
              <w:rPr>
                <w:sz w:val="18"/>
                <w:szCs w:val="18"/>
              </w:rPr>
            </w:pPr>
            <w:r w:rsidRPr="00B77AC2">
              <w:rPr>
                <w:sz w:val="18"/>
                <w:szCs w:val="18"/>
              </w:rPr>
              <w:t>Some health conditions may be exacerbated by working in a health care environment or impact on a candidate’s ability perform all their duties.</w:t>
            </w:r>
          </w:p>
        </w:tc>
        <w:tc>
          <w:tcPr>
            <w:tcW w:w="6520" w:type="dxa"/>
          </w:tcPr>
          <w:p w14:paraId="2A9FB86D" w14:textId="77777777" w:rsidR="00896126" w:rsidRPr="00B77AC2" w:rsidRDefault="00641DC5" w:rsidP="005940D6">
            <w:pPr>
              <w:rPr>
                <w:sz w:val="18"/>
                <w:szCs w:val="18"/>
              </w:rPr>
            </w:pPr>
            <w:r w:rsidRPr="00B77AC2">
              <w:rPr>
                <w:sz w:val="18"/>
                <w:szCs w:val="18"/>
              </w:rPr>
              <w:t>The candidate should discuss any health condition that they think may affect their work, in confidence, with the EHW team.  EHW will advise their manager on what adjustments may be required to help them achieve their full potential in the workplace.  EHW will not discuss specific health issues with the manager or any other third party without consent from the candidate.</w:t>
            </w:r>
          </w:p>
          <w:p w14:paraId="6C80230D" w14:textId="34BBFB2D" w:rsidR="00641DC5" w:rsidRPr="006137CD" w:rsidRDefault="00641DC5" w:rsidP="005940D6">
            <w:pPr>
              <w:rPr>
                <w:sz w:val="10"/>
                <w:szCs w:val="10"/>
              </w:rPr>
            </w:pPr>
          </w:p>
        </w:tc>
      </w:tr>
      <w:tr w:rsidR="00896126" w14:paraId="2BA39EB8" w14:textId="77777777" w:rsidTr="008B5B89">
        <w:tc>
          <w:tcPr>
            <w:tcW w:w="2836" w:type="dxa"/>
          </w:tcPr>
          <w:p w14:paraId="0B1A2798" w14:textId="75762186" w:rsidR="00896126" w:rsidRPr="00641DC5" w:rsidRDefault="00641DC5" w:rsidP="005940D6">
            <w:pPr>
              <w:rPr>
                <w:b/>
                <w:bCs/>
                <w:sz w:val="20"/>
                <w:szCs w:val="20"/>
              </w:rPr>
            </w:pPr>
            <w:r w:rsidRPr="00641DC5">
              <w:rPr>
                <w:b/>
                <w:bCs/>
                <w:sz w:val="20"/>
                <w:szCs w:val="20"/>
              </w:rPr>
              <w:t>New or expectant mothers</w:t>
            </w:r>
          </w:p>
        </w:tc>
        <w:tc>
          <w:tcPr>
            <w:tcW w:w="4961" w:type="dxa"/>
          </w:tcPr>
          <w:p w14:paraId="056DB2A9" w14:textId="673180F5" w:rsidR="00896126" w:rsidRPr="00B77AC2" w:rsidRDefault="00641DC5" w:rsidP="005940D6">
            <w:pPr>
              <w:rPr>
                <w:sz w:val="18"/>
                <w:szCs w:val="18"/>
              </w:rPr>
            </w:pPr>
            <w:r w:rsidRPr="00B77AC2">
              <w:rPr>
                <w:sz w:val="18"/>
                <w:szCs w:val="18"/>
              </w:rPr>
              <w:t>Whilst not a health problem new or expectant mothers will require a pregnancy risk assessment to be undertaken prior to commencement of your new job.  This is to ensure that you are not exposed to hazards in the workplace that may pose a risk to the mother or their unborn child.</w:t>
            </w:r>
          </w:p>
        </w:tc>
        <w:tc>
          <w:tcPr>
            <w:tcW w:w="6520" w:type="dxa"/>
          </w:tcPr>
          <w:p w14:paraId="28D5BFE2" w14:textId="77777777" w:rsidR="00896126" w:rsidRPr="00B77AC2" w:rsidRDefault="00641DC5" w:rsidP="005940D6">
            <w:pPr>
              <w:rPr>
                <w:sz w:val="18"/>
                <w:szCs w:val="18"/>
              </w:rPr>
            </w:pPr>
            <w:r w:rsidRPr="00B77AC2">
              <w:rPr>
                <w:sz w:val="18"/>
                <w:szCs w:val="18"/>
              </w:rPr>
              <w:t>The candidate will be encouraged to inform their manager in writing that they are pregnant.  On receipt of this information, the manager will undertake a pregnancy risk assessment.  If any risks/hazards are identified, adjustments will be made to minimise/remove them.</w:t>
            </w:r>
          </w:p>
          <w:p w14:paraId="5C6BB8F6" w14:textId="1794217F" w:rsidR="00641DC5" w:rsidRPr="006137CD" w:rsidRDefault="00641DC5" w:rsidP="005940D6">
            <w:pPr>
              <w:rPr>
                <w:sz w:val="12"/>
                <w:szCs w:val="12"/>
              </w:rPr>
            </w:pPr>
          </w:p>
        </w:tc>
      </w:tr>
      <w:tr w:rsidR="00896126" w14:paraId="64A8B159" w14:textId="77777777" w:rsidTr="008B5B89">
        <w:tc>
          <w:tcPr>
            <w:tcW w:w="2836" w:type="dxa"/>
          </w:tcPr>
          <w:p w14:paraId="3F0CBB28" w14:textId="423BB463" w:rsidR="00896126" w:rsidRPr="00641DC5" w:rsidRDefault="00641DC5" w:rsidP="005940D6">
            <w:pPr>
              <w:rPr>
                <w:b/>
                <w:bCs/>
                <w:sz w:val="20"/>
                <w:szCs w:val="20"/>
              </w:rPr>
            </w:pPr>
            <w:r w:rsidRPr="00641DC5">
              <w:rPr>
                <w:b/>
                <w:bCs/>
                <w:sz w:val="20"/>
                <w:szCs w:val="20"/>
              </w:rPr>
              <w:t>Dyslexia</w:t>
            </w:r>
            <w:r>
              <w:rPr>
                <w:b/>
                <w:bCs/>
                <w:sz w:val="20"/>
                <w:szCs w:val="20"/>
              </w:rPr>
              <w:t xml:space="preserve"> and other learning disabilities</w:t>
            </w:r>
          </w:p>
        </w:tc>
        <w:tc>
          <w:tcPr>
            <w:tcW w:w="4961" w:type="dxa"/>
          </w:tcPr>
          <w:p w14:paraId="41470C4F" w14:textId="77777777" w:rsidR="00896126" w:rsidRPr="00B77AC2" w:rsidRDefault="00641DC5" w:rsidP="005940D6">
            <w:pPr>
              <w:rPr>
                <w:sz w:val="18"/>
                <w:szCs w:val="18"/>
              </w:rPr>
            </w:pPr>
            <w:r w:rsidRPr="00B77AC2">
              <w:rPr>
                <w:sz w:val="18"/>
                <w:szCs w:val="18"/>
              </w:rPr>
              <w:t>Working in healthcare involves record keeping, calculating drug doses, reading complex medical information, and processing complex information (at times under pressure).</w:t>
            </w:r>
          </w:p>
          <w:p w14:paraId="6674BDDA" w14:textId="32AA107B" w:rsidR="00641DC5" w:rsidRPr="006137CD" w:rsidRDefault="00641DC5" w:rsidP="005940D6">
            <w:pPr>
              <w:rPr>
                <w:sz w:val="10"/>
                <w:szCs w:val="10"/>
              </w:rPr>
            </w:pPr>
          </w:p>
        </w:tc>
        <w:tc>
          <w:tcPr>
            <w:tcW w:w="6520" w:type="dxa"/>
          </w:tcPr>
          <w:p w14:paraId="27A4499C" w14:textId="18EC0C8C" w:rsidR="00896126" w:rsidRPr="00B77AC2" w:rsidRDefault="00641DC5" w:rsidP="005940D6">
            <w:pPr>
              <w:rPr>
                <w:sz w:val="18"/>
                <w:szCs w:val="18"/>
              </w:rPr>
            </w:pPr>
            <w:r w:rsidRPr="00B77AC2">
              <w:rPr>
                <w:sz w:val="18"/>
                <w:szCs w:val="18"/>
              </w:rPr>
              <w:t>If the candidate has a learning disability, they will be contacted by the EHW team to discuss the impact that the condition may have on their work.</w:t>
            </w:r>
          </w:p>
        </w:tc>
      </w:tr>
    </w:tbl>
    <w:p w14:paraId="6ED26D45" w14:textId="77777777" w:rsidR="006137CD" w:rsidRPr="008B5B89" w:rsidRDefault="006137CD" w:rsidP="006137CD">
      <w:pPr>
        <w:spacing w:after="0"/>
        <w:rPr>
          <w:b/>
          <w:bCs/>
          <w:sz w:val="12"/>
          <w:szCs w:val="12"/>
        </w:rPr>
      </w:pPr>
    </w:p>
    <w:p w14:paraId="5856D039" w14:textId="7C0F12FC" w:rsidR="0049084F" w:rsidRDefault="00641DC5" w:rsidP="006137CD">
      <w:pPr>
        <w:spacing w:after="0"/>
      </w:pPr>
      <w:r>
        <w:rPr>
          <w:b/>
          <w:bCs/>
        </w:rPr>
        <w:t xml:space="preserve">Candidates </w:t>
      </w:r>
      <w:r>
        <w:t xml:space="preserve">please note that employees who are </w:t>
      </w:r>
      <w:r w:rsidRPr="00070BA1">
        <w:rPr>
          <w:b/>
          <w:bCs/>
          <w:u w:val="single"/>
        </w:rPr>
        <w:t>not in clinical roles</w:t>
      </w:r>
      <w:r>
        <w:rPr>
          <w:b/>
          <w:bCs/>
        </w:rPr>
        <w:t xml:space="preserve"> </w:t>
      </w:r>
      <w:r>
        <w:t>but who are working in a health care setting should be up to date with the following immunisations:</w:t>
      </w:r>
    </w:p>
    <w:p w14:paraId="69583C4A" w14:textId="77777777" w:rsidR="00E8468B" w:rsidRPr="00453FFA" w:rsidRDefault="00E8468B" w:rsidP="006137CD">
      <w:pPr>
        <w:spacing w:after="0"/>
        <w:rPr>
          <w:sz w:val="14"/>
          <w:szCs w:val="14"/>
        </w:rPr>
      </w:pPr>
    </w:p>
    <w:p w14:paraId="050D9593" w14:textId="77777777" w:rsidR="00E8468B" w:rsidRDefault="00641DC5" w:rsidP="00E8468B">
      <w:pPr>
        <w:pStyle w:val="ListParagraph"/>
        <w:numPr>
          <w:ilvl w:val="0"/>
          <w:numId w:val="11"/>
        </w:numPr>
        <w:spacing w:after="0"/>
      </w:pPr>
      <w:r w:rsidRPr="006137CD">
        <w:t>Tetanus</w:t>
      </w:r>
      <w:r w:rsidR="004D4593" w:rsidRPr="006137CD">
        <w:tab/>
      </w:r>
      <w:r w:rsidR="004D4593" w:rsidRPr="006137CD">
        <w:tab/>
      </w:r>
    </w:p>
    <w:p w14:paraId="46FC44F4" w14:textId="77777777" w:rsidR="00E8468B" w:rsidRDefault="004D4593" w:rsidP="00E8468B">
      <w:pPr>
        <w:pStyle w:val="ListParagraph"/>
        <w:numPr>
          <w:ilvl w:val="0"/>
          <w:numId w:val="11"/>
        </w:numPr>
        <w:spacing w:after="0"/>
      </w:pPr>
      <w:r w:rsidRPr="006137CD">
        <w:t>Diphtheria</w:t>
      </w:r>
      <w:r w:rsidR="007E57F9" w:rsidRPr="006137CD">
        <w:tab/>
      </w:r>
      <w:r w:rsidR="00384E6F" w:rsidRPr="006137CD">
        <w:t xml:space="preserve"> </w:t>
      </w:r>
    </w:p>
    <w:p w14:paraId="0A6FCB33" w14:textId="77777777" w:rsidR="00E8468B" w:rsidRDefault="00641DC5" w:rsidP="00E8468B">
      <w:pPr>
        <w:pStyle w:val="ListParagraph"/>
        <w:numPr>
          <w:ilvl w:val="0"/>
          <w:numId w:val="11"/>
        </w:numPr>
        <w:spacing w:after="0"/>
      </w:pPr>
      <w:r w:rsidRPr="006137CD">
        <w:t>Mumps</w:t>
      </w:r>
      <w:r w:rsidR="004D4593" w:rsidRPr="006137CD">
        <w:tab/>
      </w:r>
      <w:r w:rsidR="004D4593" w:rsidRPr="006137CD">
        <w:tab/>
      </w:r>
    </w:p>
    <w:p w14:paraId="289EB696" w14:textId="77777777" w:rsidR="00E8468B" w:rsidRDefault="00641DC5" w:rsidP="00E8468B">
      <w:pPr>
        <w:pStyle w:val="ListParagraph"/>
        <w:numPr>
          <w:ilvl w:val="0"/>
          <w:numId w:val="11"/>
        </w:numPr>
        <w:spacing w:after="0"/>
      </w:pPr>
      <w:r w:rsidRPr="006137CD">
        <w:t>Measles</w:t>
      </w:r>
      <w:r w:rsidR="00384E6F" w:rsidRPr="006137CD">
        <w:t xml:space="preserve"> </w:t>
      </w:r>
      <w:r w:rsidR="00384E6F" w:rsidRPr="006137CD">
        <w:tab/>
      </w:r>
    </w:p>
    <w:p w14:paraId="652D261A" w14:textId="7DD3277C" w:rsidR="00641DC5" w:rsidRPr="006137CD" w:rsidRDefault="00641DC5" w:rsidP="00E8468B">
      <w:pPr>
        <w:pStyle w:val="ListParagraph"/>
        <w:numPr>
          <w:ilvl w:val="0"/>
          <w:numId w:val="11"/>
        </w:numPr>
        <w:spacing w:after="0"/>
      </w:pPr>
      <w:r w:rsidRPr="006137CD">
        <w:t>Rubella</w:t>
      </w:r>
    </w:p>
    <w:p w14:paraId="5F9E3C9F" w14:textId="77777777" w:rsidR="006137CD" w:rsidRPr="00453FFA" w:rsidRDefault="006137CD" w:rsidP="006137CD">
      <w:pPr>
        <w:spacing w:after="0"/>
        <w:rPr>
          <w:sz w:val="16"/>
          <w:szCs w:val="16"/>
        </w:rPr>
      </w:pPr>
    </w:p>
    <w:p w14:paraId="79D83248" w14:textId="377A2A97" w:rsidR="00641DC5" w:rsidRDefault="00641DC5" w:rsidP="006137CD">
      <w:pPr>
        <w:spacing w:after="0"/>
      </w:pPr>
      <w:r>
        <w:t xml:space="preserve">You will need to see your GP if you have not had or </w:t>
      </w:r>
      <w:r w:rsidR="00070BA1">
        <w:t xml:space="preserve">are </w:t>
      </w:r>
      <w:r>
        <w:t xml:space="preserve">not sure if you have had the above </w:t>
      </w:r>
      <w:r w:rsidR="00B77AC2">
        <w:t>immunisations</w:t>
      </w:r>
      <w:r>
        <w:t>.</w:t>
      </w:r>
    </w:p>
    <w:p w14:paraId="45AF0396" w14:textId="77777777" w:rsidR="006137CD" w:rsidRPr="006137CD" w:rsidRDefault="006137CD" w:rsidP="007E57F9">
      <w:pPr>
        <w:spacing w:after="0" w:line="252" w:lineRule="auto"/>
        <w:rPr>
          <w:rFonts w:eastAsia="Times New Roman"/>
          <w:color w:val="FF0000"/>
          <w:sz w:val="10"/>
          <w:szCs w:val="10"/>
        </w:rPr>
      </w:pPr>
    </w:p>
    <w:p w14:paraId="47997027" w14:textId="77777777" w:rsidR="006137CD" w:rsidRPr="006137CD" w:rsidRDefault="006137CD" w:rsidP="007E57F9">
      <w:pPr>
        <w:spacing w:after="0" w:line="252" w:lineRule="auto"/>
        <w:rPr>
          <w:rFonts w:eastAsia="Times New Roman"/>
          <w:sz w:val="10"/>
          <w:szCs w:val="10"/>
        </w:rPr>
      </w:pPr>
    </w:p>
    <w:p w14:paraId="7664CEC7" w14:textId="3EEE639E" w:rsidR="00641DC5" w:rsidRDefault="00641DC5" w:rsidP="006137CD">
      <w:pPr>
        <w:spacing w:after="0"/>
      </w:pPr>
      <w:r>
        <w:rPr>
          <w:b/>
          <w:bCs/>
        </w:rPr>
        <w:t xml:space="preserve">New starters </w:t>
      </w:r>
      <w:r>
        <w:t xml:space="preserve">will </w:t>
      </w:r>
      <w:r w:rsidR="006137CD">
        <w:t xml:space="preserve">also </w:t>
      </w:r>
      <w:r>
        <w:t xml:space="preserve">be required to complete a </w:t>
      </w:r>
      <w:r>
        <w:rPr>
          <w:b/>
          <w:bCs/>
        </w:rPr>
        <w:t xml:space="preserve">mandatory training programme </w:t>
      </w:r>
      <w:r>
        <w:t xml:space="preserve">which will assist in the management of </w:t>
      </w:r>
      <w:r w:rsidR="00B77AC2">
        <w:t>work-related</w:t>
      </w:r>
      <w:r>
        <w:t xml:space="preserve"> health risks.</w:t>
      </w:r>
    </w:p>
    <w:p w14:paraId="12F30693" w14:textId="77777777" w:rsidR="006137CD" w:rsidRPr="006137CD" w:rsidRDefault="006137CD" w:rsidP="006137CD">
      <w:pPr>
        <w:spacing w:after="0"/>
        <w:rPr>
          <w:sz w:val="10"/>
          <w:szCs w:val="10"/>
        </w:rPr>
      </w:pPr>
    </w:p>
    <w:p w14:paraId="5AC52883" w14:textId="69523CCA" w:rsidR="00B23EDF" w:rsidRPr="00E8468B" w:rsidRDefault="00B23EDF" w:rsidP="006137CD">
      <w:pPr>
        <w:spacing w:after="0"/>
      </w:pPr>
      <w:r w:rsidRPr="00E8468B">
        <w:t>References:</w:t>
      </w:r>
    </w:p>
    <w:p w14:paraId="2654BF69" w14:textId="148ACF67" w:rsidR="00B23EDF" w:rsidRPr="00E8468B" w:rsidRDefault="00B23EDF" w:rsidP="006137CD">
      <w:pPr>
        <w:pStyle w:val="ListParagraph"/>
        <w:numPr>
          <w:ilvl w:val="0"/>
          <w:numId w:val="8"/>
        </w:numPr>
      </w:pPr>
      <w:r w:rsidRPr="00E8468B">
        <w:t xml:space="preserve">Green Book - </w:t>
      </w:r>
      <w:hyperlink r:id="rId8" w:history="1">
        <w:r w:rsidRPr="00E8468B">
          <w:rPr>
            <w:rStyle w:val="Hyperlink"/>
          </w:rPr>
          <w:t>https://assets.publishing.service.gov.uk/government/uploads/system/uploads/attachment_data/file/147882/Green-Book-Chapter-12.pdf</w:t>
        </w:r>
      </w:hyperlink>
    </w:p>
    <w:p w14:paraId="12442CE8" w14:textId="05F79C49" w:rsidR="0049084F" w:rsidRPr="00E8468B" w:rsidRDefault="000A79E2" w:rsidP="005A6BE4">
      <w:pPr>
        <w:pStyle w:val="ListParagraph"/>
        <w:numPr>
          <w:ilvl w:val="0"/>
          <w:numId w:val="8"/>
        </w:numPr>
        <w:rPr>
          <w:rStyle w:val="Hyperlink"/>
          <w:color w:val="auto"/>
          <w:u w:val="none"/>
        </w:rPr>
      </w:pPr>
      <w:r w:rsidRPr="00E8468B">
        <w:t xml:space="preserve">Working safely with display screen equipment - </w:t>
      </w:r>
      <w:hyperlink r:id="rId9" w:history="1">
        <w:r w:rsidRPr="00E8468B">
          <w:rPr>
            <w:rStyle w:val="Hyperlink"/>
          </w:rPr>
          <w:t>https://www.hse.gov.uk/msd/dse/</w:t>
        </w:r>
      </w:hyperlink>
    </w:p>
    <w:p w14:paraId="3D4158A8" w14:textId="77777777" w:rsidR="006137CD" w:rsidRDefault="006137CD" w:rsidP="006137CD">
      <w:pPr>
        <w:keepNext/>
        <w:keepLines/>
        <w:spacing w:before="240" w:after="0"/>
        <w:outlineLvl w:val="0"/>
        <w:rPr>
          <w:rFonts w:asciiTheme="majorHAnsi" w:eastAsiaTheme="majorEastAsia" w:hAnsiTheme="majorHAnsi" w:cstheme="majorBidi"/>
          <w:color w:val="2F5496" w:themeColor="accent1" w:themeShade="BF"/>
          <w:sz w:val="32"/>
          <w:szCs w:val="32"/>
        </w:rPr>
        <w:sectPr w:rsidR="006137CD" w:rsidSect="00384E6F">
          <w:headerReference w:type="default" r:id="rId10"/>
          <w:footerReference w:type="default" r:id="rId11"/>
          <w:pgSz w:w="16838" w:h="11906" w:orient="landscape"/>
          <w:pgMar w:top="1440" w:right="1440" w:bottom="1440" w:left="1440" w:header="709" w:footer="709" w:gutter="0"/>
          <w:cols w:space="708"/>
          <w:docGrid w:linePitch="360"/>
        </w:sectPr>
      </w:pPr>
    </w:p>
    <w:p w14:paraId="3585AC9C" w14:textId="26E62A92" w:rsidR="006137CD" w:rsidRDefault="006137CD" w:rsidP="008B5B89">
      <w:pPr>
        <w:keepNext/>
        <w:keepLines/>
        <w:spacing w:before="240" w:after="0"/>
        <w:outlineLvl w:val="0"/>
        <w:rPr>
          <w:rFonts w:asciiTheme="majorHAnsi" w:eastAsiaTheme="majorEastAsia" w:hAnsiTheme="majorHAnsi" w:cstheme="majorBidi"/>
          <w:color w:val="2F5496" w:themeColor="accent1" w:themeShade="BF"/>
        </w:rPr>
      </w:pPr>
      <w:r w:rsidRPr="006137CD">
        <w:rPr>
          <w:rFonts w:asciiTheme="majorHAnsi" w:eastAsiaTheme="majorEastAsia" w:hAnsiTheme="majorHAnsi" w:cstheme="majorBidi"/>
          <w:color w:val="2F5496" w:themeColor="accent1" w:themeShade="BF"/>
          <w:sz w:val="32"/>
          <w:szCs w:val="32"/>
        </w:rPr>
        <w:lastRenderedPageBreak/>
        <w:t>Appendix 1</w:t>
      </w:r>
      <w:r w:rsidR="008B5B89">
        <w:rPr>
          <w:rFonts w:asciiTheme="majorHAnsi" w:eastAsiaTheme="majorEastAsia" w:hAnsiTheme="majorHAnsi" w:cstheme="majorBidi"/>
          <w:color w:val="2F5496" w:themeColor="accent1" w:themeShade="BF"/>
          <w:sz w:val="32"/>
          <w:szCs w:val="32"/>
        </w:rPr>
        <w:t xml:space="preserve"> </w:t>
      </w:r>
    </w:p>
    <w:p w14:paraId="66FBE918" w14:textId="77777777" w:rsidR="008B5B89" w:rsidRPr="008B5B89" w:rsidRDefault="008B5B89" w:rsidP="008B5B89">
      <w:pPr>
        <w:keepNext/>
        <w:keepLines/>
        <w:spacing w:before="240" w:after="0"/>
        <w:outlineLvl w:val="0"/>
        <w:rPr>
          <w:rFonts w:asciiTheme="majorHAnsi" w:eastAsiaTheme="majorEastAsia" w:hAnsiTheme="majorHAnsi" w:cstheme="majorBidi"/>
          <w:color w:val="2F5496" w:themeColor="accent1" w:themeShade="BF"/>
          <w:sz w:val="2"/>
          <w:szCs w:val="2"/>
        </w:rPr>
      </w:pPr>
    </w:p>
    <w:tbl>
      <w:tblPr>
        <w:tblStyle w:val="TableGrid"/>
        <w:tblW w:w="0" w:type="auto"/>
        <w:tblLook w:val="04A0" w:firstRow="1" w:lastRow="0" w:firstColumn="1" w:lastColumn="0" w:noHBand="0" w:noVBand="1"/>
      </w:tblPr>
      <w:tblGrid>
        <w:gridCol w:w="3539"/>
        <w:gridCol w:w="3260"/>
        <w:gridCol w:w="2977"/>
        <w:gridCol w:w="2410"/>
        <w:gridCol w:w="3118"/>
      </w:tblGrid>
      <w:tr w:rsidR="006137CD" w14:paraId="6F1708AB" w14:textId="77777777" w:rsidTr="009D1420">
        <w:tc>
          <w:tcPr>
            <w:tcW w:w="3539" w:type="dxa"/>
          </w:tcPr>
          <w:p w14:paraId="49080BB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Afghanistan</w:t>
            </w:r>
          </w:p>
        </w:tc>
        <w:tc>
          <w:tcPr>
            <w:tcW w:w="3260" w:type="dxa"/>
            <w:vAlign w:val="center"/>
          </w:tcPr>
          <w:p w14:paraId="54B551A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Democratic Republic of the Congo</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4B0A510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Kenya</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65D35FD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Nigeria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790FD2CD"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Timor-Leste</w:t>
            </w:r>
          </w:p>
        </w:tc>
      </w:tr>
      <w:tr w:rsidR="006137CD" w14:paraId="3CA301C6" w14:textId="77777777" w:rsidTr="009D1420">
        <w:tc>
          <w:tcPr>
            <w:tcW w:w="3539" w:type="dxa"/>
          </w:tcPr>
          <w:p w14:paraId="61B46E3F"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Algeria</w:t>
            </w:r>
          </w:p>
        </w:tc>
        <w:tc>
          <w:tcPr>
            <w:tcW w:w="3260" w:type="dxa"/>
            <w:vAlign w:val="center"/>
          </w:tcPr>
          <w:p w14:paraId="61F656E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Djibouti</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4270CAF6"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Kiribati</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7C27208C"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Northern Mariana Islands</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04188B4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Turkmenistan</w:t>
            </w:r>
          </w:p>
        </w:tc>
      </w:tr>
      <w:tr w:rsidR="006137CD" w14:paraId="01E34EF3" w14:textId="77777777" w:rsidTr="009D1420">
        <w:tc>
          <w:tcPr>
            <w:tcW w:w="3539" w:type="dxa"/>
          </w:tcPr>
          <w:p w14:paraId="5487D58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Angola</w:t>
            </w:r>
          </w:p>
        </w:tc>
        <w:tc>
          <w:tcPr>
            <w:tcW w:w="3260" w:type="dxa"/>
            <w:vAlign w:val="center"/>
          </w:tcPr>
          <w:p w14:paraId="7A16A82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Dominican Republic</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523CD3E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Kyrgyzstan</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029A1D9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Pakistan</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6D6CCC3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Tuvalu</w:t>
            </w:r>
          </w:p>
        </w:tc>
      </w:tr>
      <w:tr w:rsidR="006137CD" w14:paraId="11F1E89D" w14:textId="77777777" w:rsidTr="009D1420">
        <w:tc>
          <w:tcPr>
            <w:tcW w:w="3539" w:type="dxa"/>
          </w:tcPr>
          <w:p w14:paraId="0858792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Azerbaijan</w:t>
            </w:r>
          </w:p>
        </w:tc>
        <w:tc>
          <w:tcPr>
            <w:tcW w:w="3260" w:type="dxa"/>
          </w:tcPr>
          <w:p w14:paraId="452C7B7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Ecuador</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5689CB8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Lao People's Democratic Republic</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7F51F14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Papua New Guinea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05A12415"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Uganda</w:t>
            </w:r>
          </w:p>
        </w:tc>
      </w:tr>
      <w:tr w:rsidR="006137CD" w14:paraId="5743169D" w14:textId="77777777" w:rsidTr="009D1420">
        <w:tc>
          <w:tcPr>
            <w:tcW w:w="3539" w:type="dxa"/>
          </w:tcPr>
          <w:p w14:paraId="08757E3E"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Bangladesh</w:t>
            </w:r>
          </w:p>
        </w:tc>
        <w:tc>
          <w:tcPr>
            <w:tcW w:w="3260" w:type="dxa"/>
          </w:tcPr>
          <w:p w14:paraId="1E78D4A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El Salvador</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1C8228F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Lesotho</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486A449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Paraguay</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2FD69C9E"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Ukraine</w:t>
            </w:r>
          </w:p>
        </w:tc>
      </w:tr>
      <w:tr w:rsidR="006137CD" w14:paraId="5CBEDE33" w14:textId="77777777" w:rsidTr="009D1420">
        <w:tc>
          <w:tcPr>
            <w:tcW w:w="3539" w:type="dxa"/>
          </w:tcPr>
          <w:p w14:paraId="43C76E3C"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Benin</w:t>
            </w:r>
          </w:p>
        </w:tc>
        <w:tc>
          <w:tcPr>
            <w:tcW w:w="3260" w:type="dxa"/>
          </w:tcPr>
          <w:p w14:paraId="54DCCE8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Equatorial Guinea</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35EC3656"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Liberia</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41ED4F8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Peru</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48115A3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United Republic of Tanzania</w:t>
            </w:r>
          </w:p>
        </w:tc>
      </w:tr>
      <w:tr w:rsidR="006137CD" w14:paraId="369587EB" w14:textId="77777777" w:rsidTr="009D1420">
        <w:tc>
          <w:tcPr>
            <w:tcW w:w="3539" w:type="dxa"/>
          </w:tcPr>
          <w:p w14:paraId="215F2BC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Bhutan</w:t>
            </w:r>
          </w:p>
        </w:tc>
        <w:tc>
          <w:tcPr>
            <w:tcW w:w="3260" w:type="dxa"/>
          </w:tcPr>
          <w:p w14:paraId="5B1F8F04"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Eritrea</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64BE73D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Libya</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796F6582"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Philippines</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41961AF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Uzbekistan</w:t>
            </w:r>
          </w:p>
        </w:tc>
      </w:tr>
      <w:tr w:rsidR="006137CD" w14:paraId="0CDCE1A9" w14:textId="77777777" w:rsidTr="009D1420">
        <w:tc>
          <w:tcPr>
            <w:tcW w:w="3539" w:type="dxa"/>
          </w:tcPr>
          <w:p w14:paraId="218C0476"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Bolivia (Plurinational State of)</w:t>
            </w:r>
          </w:p>
        </w:tc>
        <w:tc>
          <w:tcPr>
            <w:tcW w:w="3260" w:type="dxa"/>
            <w:tcBorders>
              <w:bottom w:val="single" w:sz="4" w:space="0" w:color="auto"/>
            </w:tcBorders>
          </w:tcPr>
          <w:p w14:paraId="1393DE4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Eswatini</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2AC371EF"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Lithuania</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26F6A86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Republic of Korea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5FA660CF"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Vanuatu</w:t>
            </w:r>
          </w:p>
        </w:tc>
      </w:tr>
      <w:tr w:rsidR="006137CD" w14:paraId="20417774" w14:textId="77777777" w:rsidTr="009D1420">
        <w:tc>
          <w:tcPr>
            <w:tcW w:w="3539" w:type="dxa"/>
          </w:tcPr>
          <w:p w14:paraId="10C9B88F"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Botswana</w:t>
            </w:r>
          </w:p>
        </w:tc>
        <w:tc>
          <w:tcPr>
            <w:tcW w:w="3260" w:type="dxa"/>
            <w:vAlign w:val="center"/>
          </w:tcPr>
          <w:p w14:paraId="25BA073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Ethiopia</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6CB3847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Madagascar</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3DEDF85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Republic of Moldova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6D5CE81C"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Venezuela (Bolivarian Republic of)</w:t>
            </w:r>
          </w:p>
        </w:tc>
      </w:tr>
      <w:tr w:rsidR="006137CD" w14:paraId="595CB598" w14:textId="77777777" w:rsidTr="009D1420">
        <w:tc>
          <w:tcPr>
            <w:tcW w:w="3539" w:type="dxa"/>
          </w:tcPr>
          <w:p w14:paraId="0A906B98"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Brazil</w:t>
            </w:r>
          </w:p>
        </w:tc>
        <w:tc>
          <w:tcPr>
            <w:tcW w:w="3260" w:type="dxa"/>
          </w:tcPr>
          <w:p w14:paraId="617C608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Fiji</w:t>
            </w:r>
          </w:p>
        </w:tc>
        <w:tc>
          <w:tcPr>
            <w:tcW w:w="2977" w:type="dxa"/>
            <w:tcBorders>
              <w:top w:val="single" w:sz="4" w:space="0" w:color="auto"/>
              <w:left w:val="single" w:sz="4" w:space="0" w:color="000000"/>
              <w:bottom w:val="single" w:sz="4" w:space="0" w:color="auto"/>
              <w:right w:val="single" w:sz="4" w:space="0" w:color="auto"/>
            </w:tcBorders>
            <w:shd w:val="clear" w:color="FFFFFF" w:fill="FFFFFF"/>
            <w:vAlign w:val="center"/>
          </w:tcPr>
          <w:p w14:paraId="7B8F679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Malawi</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478507AF"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Romania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55848E8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Viet Nam</w:t>
            </w:r>
          </w:p>
        </w:tc>
      </w:tr>
      <w:tr w:rsidR="006137CD" w14:paraId="3EFF184B" w14:textId="77777777" w:rsidTr="009D1420">
        <w:tc>
          <w:tcPr>
            <w:tcW w:w="3539" w:type="dxa"/>
          </w:tcPr>
          <w:p w14:paraId="54AF7F47"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Brunei Darussalam</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6BB2B8AE"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Gabon</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4263EF0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Malaysia</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0ED50D0D"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Russian Federation</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1E625FB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Yemen</w:t>
            </w:r>
          </w:p>
        </w:tc>
      </w:tr>
      <w:tr w:rsidR="006137CD" w14:paraId="055353ED" w14:textId="77777777" w:rsidTr="009D1420">
        <w:tc>
          <w:tcPr>
            <w:tcW w:w="3539" w:type="dxa"/>
          </w:tcPr>
          <w:p w14:paraId="5B53D826"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Burkina Faso</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3A982104"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Gambia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79376FE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Mali</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5ECD5F9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Rwanda</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07D8056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Zambia</w:t>
            </w:r>
          </w:p>
        </w:tc>
      </w:tr>
      <w:tr w:rsidR="006137CD" w14:paraId="1F1A5FD8" w14:textId="77777777" w:rsidTr="009D1420">
        <w:tc>
          <w:tcPr>
            <w:tcW w:w="3539" w:type="dxa"/>
          </w:tcPr>
          <w:p w14:paraId="68C75DF9"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Burundi</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436D001C"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Georgia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47AA062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Marshall Islands</w:t>
            </w:r>
          </w:p>
        </w:tc>
        <w:tc>
          <w:tcPr>
            <w:tcW w:w="2410" w:type="dxa"/>
            <w:tcBorders>
              <w:top w:val="single" w:sz="4" w:space="0" w:color="auto"/>
              <w:left w:val="single" w:sz="4" w:space="0" w:color="auto"/>
              <w:bottom w:val="single" w:sz="4" w:space="0" w:color="auto"/>
              <w:right w:val="single" w:sz="4" w:space="0" w:color="auto"/>
            </w:tcBorders>
            <w:shd w:val="clear" w:color="FFFFFF" w:fill="FFFFFF"/>
            <w:vAlign w:val="center"/>
          </w:tcPr>
          <w:p w14:paraId="60BB6AD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Sao Tome and Principe</w:t>
            </w:r>
          </w:p>
        </w:tc>
        <w:tc>
          <w:tcPr>
            <w:tcW w:w="3118" w:type="dxa"/>
            <w:tcBorders>
              <w:top w:val="single" w:sz="4" w:space="0" w:color="auto"/>
              <w:left w:val="single" w:sz="4" w:space="0" w:color="auto"/>
              <w:bottom w:val="single" w:sz="4" w:space="0" w:color="auto"/>
              <w:right w:val="single" w:sz="4" w:space="0" w:color="auto"/>
            </w:tcBorders>
            <w:shd w:val="clear" w:color="FFFFFF" w:fill="FFFFFF"/>
            <w:vAlign w:val="center"/>
          </w:tcPr>
          <w:p w14:paraId="10FEEEC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Zimbabwe</w:t>
            </w:r>
          </w:p>
        </w:tc>
      </w:tr>
      <w:tr w:rsidR="006137CD" w14:paraId="55F9F6D2" w14:textId="77777777" w:rsidTr="009D1420">
        <w:tc>
          <w:tcPr>
            <w:tcW w:w="3539" w:type="dxa"/>
          </w:tcPr>
          <w:p w14:paraId="51DBB35D"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Cabo Verde</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747CE514"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Ghana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766D187D"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Mauritania</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525166B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Senegal</w:t>
            </w:r>
          </w:p>
        </w:tc>
        <w:tc>
          <w:tcPr>
            <w:tcW w:w="3118" w:type="dxa"/>
            <w:tcBorders>
              <w:top w:val="single" w:sz="4" w:space="0" w:color="auto"/>
            </w:tcBorders>
          </w:tcPr>
          <w:p w14:paraId="17DEB607" w14:textId="77777777" w:rsidR="006137CD" w:rsidRPr="00E11B4D" w:rsidRDefault="006137CD" w:rsidP="008A5D28">
            <w:pPr>
              <w:rPr>
                <w:sz w:val="20"/>
                <w:szCs w:val="20"/>
              </w:rPr>
            </w:pPr>
          </w:p>
        </w:tc>
      </w:tr>
      <w:tr w:rsidR="006137CD" w14:paraId="0E0B39DD" w14:textId="77777777" w:rsidTr="009D1420">
        <w:tc>
          <w:tcPr>
            <w:tcW w:w="3539" w:type="dxa"/>
          </w:tcPr>
          <w:p w14:paraId="717EACAE"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Cambodia</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23B3799C"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Greenland</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374D2CD0"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Micronesia (Federated States of)</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26BD0AE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Sierra Leone</w:t>
            </w:r>
          </w:p>
        </w:tc>
        <w:tc>
          <w:tcPr>
            <w:tcW w:w="3118" w:type="dxa"/>
          </w:tcPr>
          <w:p w14:paraId="3D58ADAA" w14:textId="77777777" w:rsidR="006137CD" w:rsidRPr="00E11B4D" w:rsidRDefault="006137CD" w:rsidP="008A5D28">
            <w:pPr>
              <w:rPr>
                <w:sz w:val="20"/>
                <w:szCs w:val="20"/>
              </w:rPr>
            </w:pPr>
          </w:p>
        </w:tc>
      </w:tr>
      <w:tr w:rsidR="006137CD" w14:paraId="4FFC8E86" w14:textId="77777777" w:rsidTr="009D1420">
        <w:tc>
          <w:tcPr>
            <w:tcW w:w="3539" w:type="dxa"/>
          </w:tcPr>
          <w:p w14:paraId="5FB7845D"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Cameroon</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1E5DBCA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Guam</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0D1B167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Mongolia</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633A2EE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Singapore</w:t>
            </w:r>
          </w:p>
        </w:tc>
        <w:tc>
          <w:tcPr>
            <w:tcW w:w="3118" w:type="dxa"/>
          </w:tcPr>
          <w:p w14:paraId="4A26DD17" w14:textId="77777777" w:rsidR="006137CD" w:rsidRPr="00E11B4D" w:rsidRDefault="006137CD" w:rsidP="008A5D28">
            <w:pPr>
              <w:rPr>
                <w:sz w:val="20"/>
                <w:szCs w:val="20"/>
              </w:rPr>
            </w:pPr>
          </w:p>
        </w:tc>
      </w:tr>
      <w:tr w:rsidR="006137CD" w14:paraId="45796C62" w14:textId="77777777" w:rsidTr="009D1420">
        <w:tc>
          <w:tcPr>
            <w:tcW w:w="3539" w:type="dxa"/>
          </w:tcPr>
          <w:p w14:paraId="26F49C59"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Central African Republic</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111ECADE"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Guinea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6559538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Morocco</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2EE65AAE"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Solomon Islands</w:t>
            </w:r>
          </w:p>
        </w:tc>
        <w:tc>
          <w:tcPr>
            <w:tcW w:w="3118" w:type="dxa"/>
          </w:tcPr>
          <w:p w14:paraId="5631899F" w14:textId="77777777" w:rsidR="006137CD" w:rsidRPr="00E11B4D" w:rsidRDefault="006137CD" w:rsidP="008A5D28">
            <w:pPr>
              <w:rPr>
                <w:sz w:val="20"/>
                <w:szCs w:val="20"/>
              </w:rPr>
            </w:pPr>
          </w:p>
        </w:tc>
      </w:tr>
      <w:tr w:rsidR="006137CD" w14:paraId="7C140C76" w14:textId="77777777" w:rsidTr="009D1420">
        <w:tc>
          <w:tcPr>
            <w:tcW w:w="3539" w:type="dxa"/>
          </w:tcPr>
          <w:p w14:paraId="5E3FBA5A"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Chad</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4DDCE4DD"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Guinea-Bissau</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2E44C7C8"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Mozambique</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1FB100CD"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Somalia</w:t>
            </w:r>
          </w:p>
        </w:tc>
        <w:tc>
          <w:tcPr>
            <w:tcW w:w="3118" w:type="dxa"/>
          </w:tcPr>
          <w:p w14:paraId="64787457" w14:textId="77777777" w:rsidR="006137CD" w:rsidRPr="00E11B4D" w:rsidRDefault="006137CD" w:rsidP="008A5D28">
            <w:pPr>
              <w:rPr>
                <w:sz w:val="20"/>
                <w:szCs w:val="20"/>
              </w:rPr>
            </w:pPr>
          </w:p>
        </w:tc>
      </w:tr>
      <w:tr w:rsidR="006137CD" w14:paraId="031D8440" w14:textId="77777777" w:rsidTr="009D1420">
        <w:tc>
          <w:tcPr>
            <w:tcW w:w="3539" w:type="dxa"/>
          </w:tcPr>
          <w:p w14:paraId="282F096C"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China</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2F894622"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Guyana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40544E48"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Myanmar</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7D4C086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South Africa</w:t>
            </w:r>
          </w:p>
        </w:tc>
        <w:tc>
          <w:tcPr>
            <w:tcW w:w="3118" w:type="dxa"/>
          </w:tcPr>
          <w:p w14:paraId="68EA647A" w14:textId="77777777" w:rsidR="006137CD" w:rsidRPr="00E11B4D" w:rsidRDefault="006137CD" w:rsidP="008A5D28">
            <w:pPr>
              <w:rPr>
                <w:sz w:val="20"/>
                <w:szCs w:val="20"/>
              </w:rPr>
            </w:pPr>
          </w:p>
        </w:tc>
      </w:tr>
      <w:tr w:rsidR="006137CD" w14:paraId="3F09976E" w14:textId="77777777" w:rsidTr="009D1420">
        <w:tc>
          <w:tcPr>
            <w:tcW w:w="3539" w:type="dxa"/>
          </w:tcPr>
          <w:p w14:paraId="1E673C41"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China, Hong Kong SAR</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797F5B82"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Haiti</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25E68F87"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Namibia</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191CE6E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South Sudan</w:t>
            </w:r>
          </w:p>
        </w:tc>
        <w:tc>
          <w:tcPr>
            <w:tcW w:w="3118" w:type="dxa"/>
          </w:tcPr>
          <w:p w14:paraId="04D373AE" w14:textId="77777777" w:rsidR="006137CD" w:rsidRPr="00E11B4D" w:rsidRDefault="006137CD" w:rsidP="008A5D28">
            <w:pPr>
              <w:rPr>
                <w:sz w:val="20"/>
                <w:szCs w:val="20"/>
              </w:rPr>
            </w:pPr>
          </w:p>
        </w:tc>
      </w:tr>
      <w:tr w:rsidR="006137CD" w14:paraId="7726C2B6" w14:textId="77777777" w:rsidTr="009D1420">
        <w:tc>
          <w:tcPr>
            <w:tcW w:w="3539" w:type="dxa"/>
            <w:vAlign w:val="center"/>
          </w:tcPr>
          <w:p w14:paraId="6E0319CB"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China, Macao SAR</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080181D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India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3CDF3A7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Nauru</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5AD30939"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Sri Lanka</w:t>
            </w:r>
          </w:p>
        </w:tc>
        <w:tc>
          <w:tcPr>
            <w:tcW w:w="3118" w:type="dxa"/>
          </w:tcPr>
          <w:p w14:paraId="6D15C4AB" w14:textId="77777777" w:rsidR="006137CD" w:rsidRPr="00E11B4D" w:rsidRDefault="006137CD" w:rsidP="008A5D28">
            <w:pPr>
              <w:rPr>
                <w:sz w:val="20"/>
                <w:szCs w:val="20"/>
              </w:rPr>
            </w:pPr>
          </w:p>
        </w:tc>
      </w:tr>
      <w:tr w:rsidR="006137CD" w14:paraId="58D4A76C" w14:textId="77777777" w:rsidTr="009D1420">
        <w:tc>
          <w:tcPr>
            <w:tcW w:w="3539" w:type="dxa"/>
          </w:tcPr>
          <w:p w14:paraId="2508C438"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Congo</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5C5C54CF"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Indonesia</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5D2E797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Nepal</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5AF5C1A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Sudan</w:t>
            </w:r>
          </w:p>
        </w:tc>
        <w:tc>
          <w:tcPr>
            <w:tcW w:w="3118" w:type="dxa"/>
          </w:tcPr>
          <w:p w14:paraId="21125F09" w14:textId="77777777" w:rsidR="006137CD" w:rsidRPr="00E11B4D" w:rsidRDefault="006137CD" w:rsidP="008A5D28">
            <w:pPr>
              <w:rPr>
                <w:sz w:val="20"/>
                <w:szCs w:val="20"/>
              </w:rPr>
            </w:pPr>
          </w:p>
        </w:tc>
      </w:tr>
      <w:tr w:rsidR="006137CD" w14:paraId="6084C2E8" w14:textId="77777777" w:rsidTr="009D1420">
        <w:tc>
          <w:tcPr>
            <w:tcW w:w="3539" w:type="dxa"/>
          </w:tcPr>
          <w:p w14:paraId="7127BB30"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Côte d'Ivoire</w:t>
            </w:r>
          </w:p>
        </w:tc>
        <w:tc>
          <w:tcPr>
            <w:tcW w:w="3260" w:type="dxa"/>
            <w:tcBorders>
              <w:top w:val="single" w:sz="4" w:space="0" w:color="auto"/>
              <w:left w:val="single" w:sz="4" w:space="0" w:color="000000"/>
              <w:bottom w:val="single" w:sz="4" w:space="0" w:color="auto"/>
              <w:right w:val="single" w:sz="4" w:space="0" w:color="auto"/>
            </w:tcBorders>
            <w:shd w:val="clear" w:color="FFFFFF" w:fill="FFFFFF"/>
            <w:vAlign w:val="center"/>
          </w:tcPr>
          <w:p w14:paraId="1C45224A"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Iraq</w:t>
            </w:r>
          </w:p>
        </w:tc>
        <w:tc>
          <w:tcPr>
            <w:tcW w:w="2977" w:type="dxa"/>
            <w:tcBorders>
              <w:top w:val="single" w:sz="4" w:space="0" w:color="auto"/>
              <w:left w:val="single" w:sz="4" w:space="0" w:color="auto"/>
              <w:bottom w:val="single" w:sz="4" w:space="0" w:color="auto"/>
              <w:right w:val="single" w:sz="4" w:space="0" w:color="auto"/>
            </w:tcBorders>
            <w:shd w:val="clear" w:color="FFFFFF" w:fill="FFFFFF"/>
            <w:vAlign w:val="center"/>
          </w:tcPr>
          <w:p w14:paraId="2341427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Nicaragua</w:t>
            </w:r>
          </w:p>
        </w:tc>
        <w:tc>
          <w:tcPr>
            <w:tcW w:w="2410" w:type="dxa"/>
            <w:tcBorders>
              <w:top w:val="single" w:sz="4" w:space="0" w:color="auto"/>
              <w:left w:val="single" w:sz="4" w:space="0" w:color="auto"/>
              <w:bottom w:val="single" w:sz="4" w:space="0" w:color="auto"/>
              <w:right w:val="nil"/>
            </w:tcBorders>
            <w:shd w:val="clear" w:color="FFFFFF" w:fill="FFFFFF"/>
            <w:vAlign w:val="center"/>
          </w:tcPr>
          <w:p w14:paraId="19A03B1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Tajikistan</w:t>
            </w:r>
          </w:p>
        </w:tc>
        <w:tc>
          <w:tcPr>
            <w:tcW w:w="3118" w:type="dxa"/>
          </w:tcPr>
          <w:p w14:paraId="33084D28" w14:textId="77777777" w:rsidR="006137CD" w:rsidRPr="00E11B4D" w:rsidRDefault="006137CD" w:rsidP="008A5D28">
            <w:pPr>
              <w:rPr>
                <w:sz w:val="20"/>
                <w:szCs w:val="20"/>
              </w:rPr>
            </w:pPr>
          </w:p>
        </w:tc>
      </w:tr>
      <w:tr w:rsidR="006137CD" w14:paraId="329ECCB7" w14:textId="77777777" w:rsidTr="009D1420">
        <w:tc>
          <w:tcPr>
            <w:tcW w:w="3539" w:type="dxa"/>
            <w:vAlign w:val="center"/>
          </w:tcPr>
          <w:p w14:paraId="60363424" w14:textId="77777777" w:rsidR="006137CD" w:rsidRPr="00E11B4D" w:rsidRDefault="006137CD" w:rsidP="008A5D28">
            <w:pPr>
              <w:rPr>
                <w:rFonts w:ascii="Calibri" w:eastAsia="Times New Roman" w:hAnsi="Calibri" w:cs="Calibri"/>
                <w:color w:val="000000"/>
                <w:sz w:val="20"/>
                <w:szCs w:val="20"/>
                <w:lang w:eastAsia="en-GB"/>
              </w:rPr>
            </w:pPr>
            <w:r w:rsidRPr="00E11B4D">
              <w:rPr>
                <w:rFonts w:ascii="Calibri" w:eastAsia="Times New Roman" w:hAnsi="Calibri" w:cs="Calibri"/>
                <w:color w:val="000000"/>
                <w:sz w:val="20"/>
                <w:szCs w:val="20"/>
                <w:lang w:eastAsia="en-GB"/>
              </w:rPr>
              <w:t>Democratic People's Republic of Korea</w:t>
            </w:r>
          </w:p>
        </w:tc>
        <w:tc>
          <w:tcPr>
            <w:tcW w:w="3260" w:type="dxa"/>
            <w:tcBorders>
              <w:top w:val="single" w:sz="4" w:space="0" w:color="auto"/>
              <w:left w:val="single" w:sz="4" w:space="0" w:color="000000"/>
              <w:bottom w:val="single" w:sz="4" w:space="0" w:color="auto"/>
              <w:right w:val="nil"/>
            </w:tcBorders>
            <w:shd w:val="clear" w:color="FFFFFF" w:fill="FFFFFF"/>
            <w:vAlign w:val="center"/>
          </w:tcPr>
          <w:p w14:paraId="1A7B3E91"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Kazakhstan</w:t>
            </w:r>
          </w:p>
        </w:tc>
        <w:tc>
          <w:tcPr>
            <w:tcW w:w="2977" w:type="dxa"/>
          </w:tcPr>
          <w:p w14:paraId="051C1353"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Niger</w:t>
            </w:r>
          </w:p>
        </w:tc>
        <w:tc>
          <w:tcPr>
            <w:tcW w:w="2410" w:type="dxa"/>
            <w:tcBorders>
              <w:top w:val="single" w:sz="4" w:space="0" w:color="auto"/>
              <w:left w:val="single" w:sz="4" w:space="0" w:color="000000"/>
              <w:bottom w:val="single" w:sz="4" w:space="0" w:color="auto"/>
              <w:right w:val="nil"/>
            </w:tcBorders>
            <w:shd w:val="clear" w:color="FFFFFF" w:fill="FFFFFF"/>
            <w:vAlign w:val="center"/>
          </w:tcPr>
          <w:p w14:paraId="211E180B" w14:textId="77777777" w:rsidR="006137CD" w:rsidRPr="00E11B4D" w:rsidRDefault="006137CD" w:rsidP="008A5D28">
            <w:pPr>
              <w:rPr>
                <w:sz w:val="20"/>
                <w:szCs w:val="20"/>
              </w:rPr>
            </w:pPr>
            <w:r w:rsidRPr="00E11B4D">
              <w:rPr>
                <w:rFonts w:ascii="Calibri" w:eastAsia="Times New Roman" w:hAnsi="Calibri" w:cs="Calibri"/>
                <w:color w:val="000000"/>
                <w:sz w:val="20"/>
                <w:szCs w:val="20"/>
                <w:lang w:eastAsia="en-GB"/>
              </w:rPr>
              <w:t>Thailand</w:t>
            </w:r>
          </w:p>
        </w:tc>
        <w:tc>
          <w:tcPr>
            <w:tcW w:w="3118" w:type="dxa"/>
          </w:tcPr>
          <w:p w14:paraId="1A8D1D03" w14:textId="77777777" w:rsidR="006137CD" w:rsidRPr="00E11B4D" w:rsidRDefault="006137CD" w:rsidP="008A5D28">
            <w:pPr>
              <w:rPr>
                <w:sz w:val="20"/>
                <w:szCs w:val="20"/>
              </w:rPr>
            </w:pPr>
          </w:p>
        </w:tc>
      </w:tr>
    </w:tbl>
    <w:p w14:paraId="5AE42913" w14:textId="77777777" w:rsidR="006137CD" w:rsidRPr="006137CD" w:rsidRDefault="006137CD" w:rsidP="006137CD">
      <w:pPr>
        <w:pStyle w:val="Heading3"/>
        <w:spacing w:before="0" w:line="240" w:lineRule="auto"/>
        <w:rPr>
          <w:rFonts w:asciiTheme="minorHAnsi" w:hAnsiTheme="minorHAnsi" w:cstheme="minorHAnsi"/>
          <w:sz w:val="12"/>
          <w:szCs w:val="12"/>
        </w:rPr>
      </w:pPr>
    </w:p>
    <w:p w14:paraId="13A20367" w14:textId="77777777" w:rsidR="008B5B89" w:rsidRDefault="008B5B89" w:rsidP="006137CD">
      <w:pPr>
        <w:pStyle w:val="Heading3"/>
        <w:spacing w:before="0" w:line="240" w:lineRule="auto"/>
        <w:rPr>
          <w:rFonts w:asciiTheme="minorHAnsi" w:hAnsiTheme="minorHAnsi" w:cstheme="minorHAnsi"/>
          <w:sz w:val="18"/>
          <w:szCs w:val="18"/>
        </w:rPr>
      </w:pPr>
    </w:p>
    <w:p w14:paraId="3B47CE46" w14:textId="77777777" w:rsidR="00986A9F" w:rsidRDefault="00986A9F" w:rsidP="006137CD">
      <w:pPr>
        <w:pStyle w:val="Heading3"/>
        <w:spacing w:before="0" w:line="240" w:lineRule="auto"/>
        <w:rPr>
          <w:rFonts w:asciiTheme="minorHAnsi" w:hAnsiTheme="minorHAnsi" w:cstheme="minorHAnsi"/>
          <w:sz w:val="22"/>
          <w:szCs w:val="22"/>
        </w:rPr>
      </w:pPr>
    </w:p>
    <w:p w14:paraId="78274551" w14:textId="1E303AAD" w:rsidR="006137CD" w:rsidRPr="00E8468B" w:rsidRDefault="006137CD" w:rsidP="006137CD">
      <w:pPr>
        <w:pStyle w:val="Heading3"/>
        <w:spacing w:before="0" w:line="240" w:lineRule="auto"/>
        <w:rPr>
          <w:rFonts w:asciiTheme="minorHAnsi" w:hAnsiTheme="minorHAnsi" w:cstheme="minorHAnsi"/>
          <w:sz w:val="22"/>
          <w:szCs w:val="22"/>
        </w:rPr>
      </w:pPr>
      <w:r w:rsidRPr="00E8468B">
        <w:rPr>
          <w:rFonts w:asciiTheme="minorHAnsi" w:hAnsiTheme="minorHAnsi" w:cstheme="minorHAnsi"/>
          <w:sz w:val="22"/>
          <w:szCs w:val="22"/>
        </w:rPr>
        <w:t>Sources: World Health Organisation (WHO) TB burden estimates</w:t>
      </w:r>
    </w:p>
    <w:p w14:paraId="68F6CEEA" w14:textId="1E0D93D2" w:rsidR="006137CD" w:rsidRPr="00E8468B" w:rsidRDefault="006137CD" w:rsidP="006137CD">
      <w:pPr>
        <w:spacing w:line="240" w:lineRule="auto"/>
        <w:rPr>
          <w:rFonts w:cstheme="minorHAnsi"/>
        </w:rPr>
      </w:pPr>
      <w:r w:rsidRPr="00E8468B">
        <w:rPr>
          <w:rFonts w:cstheme="minorHAnsi"/>
        </w:rPr>
        <w:t>Data accessed: October 2020</w:t>
      </w:r>
      <w:r w:rsidR="00E11B4D" w:rsidRPr="00E8468B">
        <w:rPr>
          <w:rFonts w:cstheme="minorHAnsi"/>
        </w:rPr>
        <w:tab/>
      </w:r>
      <w:r w:rsidR="00E11B4D" w:rsidRPr="00E8468B">
        <w:rPr>
          <w:rFonts w:cstheme="minorHAnsi"/>
        </w:rPr>
        <w:tab/>
      </w:r>
      <w:r w:rsidRPr="00E8468B">
        <w:rPr>
          <w:rFonts w:cstheme="minorHAnsi"/>
        </w:rPr>
        <w:t>Prepared by: TB Surveillance Team, TB Unit, National Infection Service, Public Health England</w:t>
      </w:r>
    </w:p>
    <w:sectPr w:rsidR="006137CD" w:rsidRPr="00E8468B" w:rsidSect="006137C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068D" w14:textId="77777777" w:rsidR="00CD49E8" w:rsidRDefault="00CD49E8" w:rsidP="005940D6">
      <w:pPr>
        <w:spacing w:after="0" w:line="240" w:lineRule="auto"/>
      </w:pPr>
      <w:r>
        <w:separator/>
      </w:r>
    </w:p>
  </w:endnote>
  <w:endnote w:type="continuationSeparator" w:id="0">
    <w:p w14:paraId="34F15DD6" w14:textId="77777777" w:rsidR="00CD49E8" w:rsidRDefault="00CD49E8" w:rsidP="0059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23411"/>
      <w:docPartObj>
        <w:docPartGallery w:val="Page Numbers (Bottom of Page)"/>
        <w:docPartUnique/>
      </w:docPartObj>
    </w:sdtPr>
    <w:sdtEndPr/>
    <w:sdtContent>
      <w:sdt>
        <w:sdtPr>
          <w:id w:val="1728636285"/>
          <w:docPartObj>
            <w:docPartGallery w:val="Page Numbers (Top of Page)"/>
            <w:docPartUnique/>
          </w:docPartObj>
        </w:sdtPr>
        <w:sdtEndPr/>
        <w:sdtContent>
          <w:p w14:paraId="3E4CEDBE" w14:textId="77777777" w:rsidR="00E21EBF" w:rsidRDefault="00E21EBF" w:rsidP="00B77AC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75E9F0A" w14:textId="357CE878" w:rsidR="00E21EBF" w:rsidRDefault="00E21EBF" w:rsidP="00B77AC2">
            <w:pPr>
              <w:pStyle w:val="Footer"/>
            </w:pPr>
            <w:r w:rsidRPr="00B77AC2">
              <w:t>EHW/Functional Requirements/KR/</w:t>
            </w:r>
            <w:r w:rsidR="00793EB6">
              <w:t>March 2022</w:t>
            </w:r>
            <w:r w:rsidRPr="00B77AC2">
              <w:t>/v</w:t>
            </w:r>
            <w:r w:rsidR="00793EB6">
              <w:t>8</w:t>
            </w:r>
          </w:p>
        </w:sdtContent>
      </w:sdt>
    </w:sdtContent>
  </w:sdt>
  <w:p w14:paraId="496ACF50" w14:textId="21EB9FCF" w:rsidR="00E21EBF" w:rsidRDefault="00E21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E6A6" w14:textId="77777777" w:rsidR="00CD49E8" w:rsidRDefault="00CD49E8" w:rsidP="005940D6">
      <w:pPr>
        <w:spacing w:after="0" w:line="240" w:lineRule="auto"/>
      </w:pPr>
      <w:r>
        <w:separator/>
      </w:r>
    </w:p>
  </w:footnote>
  <w:footnote w:type="continuationSeparator" w:id="0">
    <w:p w14:paraId="38269BD2" w14:textId="77777777" w:rsidR="00CD49E8" w:rsidRDefault="00CD49E8" w:rsidP="00594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F047" w14:textId="42DF4089" w:rsidR="00357864" w:rsidRDefault="00357864" w:rsidP="0011204C">
    <w:pPr>
      <w:pStyle w:val="Heading1"/>
      <w:jc w:val="center"/>
      <w:rPr>
        <w:b/>
        <w:bCs/>
        <w:sz w:val="24"/>
        <w:szCs w:val="24"/>
      </w:rPr>
    </w:pPr>
    <w:r>
      <w:rPr>
        <w:noProof/>
        <w:lang w:eastAsia="en-GB"/>
      </w:rPr>
      <w:drawing>
        <wp:anchor distT="0" distB="0" distL="114300" distR="114300" simplePos="0" relativeHeight="251659264" behindDoc="1" locked="0" layoutInCell="1" allowOverlap="1" wp14:anchorId="0A609BD3" wp14:editId="25B21E95">
          <wp:simplePos x="0" y="0"/>
          <wp:positionH relativeFrom="column">
            <wp:posOffset>7077075</wp:posOffset>
          </wp:positionH>
          <wp:positionV relativeFrom="paragraph">
            <wp:posOffset>-257810</wp:posOffset>
          </wp:positionV>
          <wp:extent cx="1979295" cy="614342"/>
          <wp:effectExtent l="0" t="0" r="1905" b="0"/>
          <wp:wrapNone/>
          <wp:docPr id="1" name="Picture 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295" cy="6143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0D6">
      <w:rPr>
        <w:b/>
        <w:bCs/>
        <w:sz w:val="24"/>
        <w:szCs w:val="24"/>
      </w:rPr>
      <w:t>FUNCTIONAL REQUIREMENTS OF ROLE</w:t>
    </w:r>
    <w:r>
      <w:rPr>
        <w:b/>
        <w:bCs/>
        <w:sz w:val="24"/>
        <w:szCs w:val="24"/>
      </w:rPr>
      <w:t xml:space="preserve"> </w:t>
    </w:r>
    <w:r w:rsidR="006137CD">
      <w:rPr>
        <w:b/>
        <w:bCs/>
        <w:sz w:val="24"/>
        <w:szCs w:val="24"/>
      </w:rPr>
      <w:t>FORM</w:t>
    </w:r>
  </w:p>
  <w:p w14:paraId="6F78CAE7" w14:textId="2D19B234" w:rsidR="00E21EBF" w:rsidRDefault="00357864" w:rsidP="00357864">
    <w:pPr>
      <w:pStyle w:val="Header"/>
      <w:tabs>
        <w:tab w:val="left" w:pos="7950"/>
        <w:tab w:val="right" w:pos="13958"/>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6FA"/>
    <w:multiLevelType w:val="hybridMultilevel"/>
    <w:tmpl w:val="2D72B83C"/>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1" w15:restartNumberingAfterBreak="0">
    <w:nsid w:val="01762C43"/>
    <w:multiLevelType w:val="hybridMultilevel"/>
    <w:tmpl w:val="A8A0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A2D04"/>
    <w:multiLevelType w:val="hybridMultilevel"/>
    <w:tmpl w:val="5952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410F9"/>
    <w:multiLevelType w:val="hybridMultilevel"/>
    <w:tmpl w:val="8638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B56AB"/>
    <w:multiLevelType w:val="hybridMultilevel"/>
    <w:tmpl w:val="306C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36452"/>
    <w:multiLevelType w:val="hybridMultilevel"/>
    <w:tmpl w:val="6728C75E"/>
    <w:lvl w:ilvl="0" w:tplc="4260D92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F450D4"/>
    <w:multiLevelType w:val="hybridMultilevel"/>
    <w:tmpl w:val="2E50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B0C6E"/>
    <w:multiLevelType w:val="hybridMultilevel"/>
    <w:tmpl w:val="DC368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A7207"/>
    <w:multiLevelType w:val="hybridMultilevel"/>
    <w:tmpl w:val="8806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53AF9"/>
    <w:multiLevelType w:val="hybridMultilevel"/>
    <w:tmpl w:val="C3F40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3"/>
  </w:num>
  <w:num w:numId="6">
    <w:abstractNumId w:val="1"/>
  </w:num>
  <w:num w:numId="7">
    <w:abstractNumId w:val="4"/>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IRFdPtFYWCE+Wuz5VgKIxtjRQ8BLpqdpHJxxiZE4X/pRtMZMZB2OYrS6pcpSHDaUPMv+GoAKQqqJQFdwPY8Pw==" w:salt="1NCkDjFNDN3wtkTpq/RhI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D6"/>
    <w:rsid w:val="00001FBD"/>
    <w:rsid w:val="0004083E"/>
    <w:rsid w:val="00070BA1"/>
    <w:rsid w:val="000A79E2"/>
    <w:rsid w:val="000B08C6"/>
    <w:rsid w:val="000C21E9"/>
    <w:rsid w:val="000D0195"/>
    <w:rsid w:val="0011204C"/>
    <w:rsid w:val="00122F8A"/>
    <w:rsid w:val="001347C9"/>
    <w:rsid w:val="00180068"/>
    <w:rsid w:val="00183A96"/>
    <w:rsid w:val="001F6A94"/>
    <w:rsid w:val="0025165E"/>
    <w:rsid w:val="002806A6"/>
    <w:rsid w:val="002D1E97"/>
    <w:rsid w:val="002F7F03"/>
    <w:rsid w:val="00302266"/>
    <w:rsid w:val="00357864"/>
    <w:rsid w:val="00384E6F"/>
    <w:rsid w:val="003F0C78"/>
    <w:rsid w:val="003F20F3"/>
    <w:rsid w:val="003F57E5"/>
    <w:rsid w:val="00453FFA"/>
    <w:rsid w:val="0049084F"/>
    <w:rsid w:val="004D4593"/>
    <w:rsid w:val="00543026"/>
    <w:rsid w:val="005940D6"/>
    <w:rsid w:val="005E231E"/>
    <w:rsid w:val="005E268E"/>
    <w:rsid w:val="006135F6"/>
    <w:rsid w:val="006137CD"/>
    <w:rsid w:val="00614197"/>
    <w:rsid w:val="00641DC5"/>
    <w:rsid w:val="00763F34"/>
    <w:rsid w:val="00793EB6"/>
    <w:rsid w:val="007A0D2F"/>
    <w:rsid w:val="007B645C"/>
    <w:rsid w:val="007E57F9"/>
    <w:rsid w:val="00896126"/>
    <w:rsid w:val="008B5B89"/>
    <w:rsid w:val="008D03E8"/>
    <w:rsid w:val="00934B5F"/>
    <w:rsid w:val="00947EDF"/>
    <w:rsid w:val="00986A9F"/>
    <w:rsid w:val="009A6857"/>
    <w:rsid w:val="009A6B5A"/>
    <w:rsid w:val="009D1420"/>
    <w:rsid w:val="00A02259"/>
    <w:rsid w:val="00A0260A"/>
    <w:rsid w:val="00A46F51"/>
    <w:rsid w:val="00B23EDF"/>
    <w:rsid w:val="00B51AB5"/>
    <w:rsid w:val="00B77AC2"/>
    <w:rsid w:val="00C012E5"/>
    <w:rsid w:val="00C10D81"/>
    <w:rsid w:val="00C1700B"/>
    <w:rsid w:val="00C44DBF"/>
    <w:rsid w:val="00C571CF"/>
    <w:rsid w:val="00C61375"/>
    <w:rsid w:val="00C67861"/>
    <w:rsid w:val="00C806EB"/>
    <w:rsid w:val="00CD49E8"/>
    <w:rsid w:val="00CE576A"/>
    <w:rsid w:val="00D169DC"/>
    <w:rsid w:val="00D96256"/>
    <w:rsid w:val="00DA7E9A"/>
    <w:rsid w:val="00E11B4D"/>
    <w:rsid w:val="00E17E4D"/>
    <w:rsid w:val="00E21EBF"/>
    <w:rsid w:val="00E50702"/>
    <w:rsid w:val="00E8468B"/>
    <w:rsid w:val="00E903CA"/>
    <w:rsid w:val="00E9685B"/>
    <w:rsid w:val="00EE4244"/>
    <w:rsid w:val="00F0112B"/>
    <w:rsid w:val="00F24995"/>
    <w:rsid w:val="00F26A3A"/>
    <w:rsid w:val="00F813AD"/>
    <w:rsid w:val="00FF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25C31"/>
  <w15:chartTrackingRefBased/>
  <w15:docId w15:val="{14BC6526-FF45-4B9B-AA83-90F952DB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0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40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37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0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40D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9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0D6"/>
  </w:style>
  <w:style w:type="paragraph" w:styleId="Footer">
    <w:name w:val="footer"/>
    <w:basedOn w:val="Normal"/>
    <w:link w:val="FooterChar"/>
    <w:uiPriority w:val="99"/>
    <w:unhideWhenUsed/>
    <w:rsid w:val="0059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0D6"/>
  </w:style>
  <w:style w:type="table" w:styleId="TableGrid">
    <w:name w:val="Table Grid"/>
    <w:basedOn w:val="TableNormal"/>
    <w:uiPriority w:val="39"/>
    <w:rsid w:val="00594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12B"/>
    <w:pPr>
      <w:ind w:left="720"/>
      <w:contextualSpacing/>
    </w:pPr>
  </w:style>
  <w:style w:type="character" w:styleId="Hyperlink">
    <w:name w:val="Hyperlink"/>
    <w:basedOn w:val="DefaultParagraphFont"/>
    <w:uiPriority w:val="99"/>
    <w:unhideWhenUsed/>
    <w:rsid w:val="00B23EDF"/>
    <w:rPr>
      <w:color w:val="0563C1" w:themeColor="hyperlink"/>
      <w:u w:val="single"/>
    </w:rPr>
  </w:style>
  <w:style w:type="character" w:styleId="UnresolvedMention">
    <w:name w:val="Unresolved Mention"/>
    <w:basedOn w:val="DefaultParagraphFont"/>
    <w:uiPriority w:val="99"/>
    <w:semiHidden/>
    <w:unhideWhenUsed/>
    <w:rsid w:val="00B23EDF"/>
    <w:rPr>
      <w:color w:val="605E5C"/>
      <w:shd w:val="clear" w:color="auto" w:fill="E1DFDD"/>
    </w:rPr>
  </w:style>
  <w:style w:type="character" w:styleId="PlaceholderText">
    <w:name w:val="Placeholder Text"/>
    <w:basedOn w:val="DefaultParagraphFont"/>
    <w:uiPriority w:val="99"/>
    <w:semiHidden/>
    <w:rsid w:val="006137CD"/>
    <w:rPr>
      <w:color w:val="808080"/>
    </w:rPr>
  </w:style>
  <w:style w:type="character" w:customStyle="1" w:styleId="Heading3Char">
    <w:name w:val="Heading 3 Char"/>
    <w:basedOn w:val="DefaultParagraphFont"/>
    <w:link w:val="Heading3"/>
    <w:uiPriority w:val="9"/>
    <w:rsid w:val="006137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6970">
      <w:bodyDiv w:val="1"/>
      <w:marLeft w:val="0"/>
      <w:marRight w:val="0"/>
      <w:marTop w:val="0"/>
      <w:marBottom w:val="0"/>
      <w:divBdr>
        <w:top w:val="none" w:sz="0" w:space="0" w:color="auto"/>
        <w:left w:val="none" w:sz="0" w:space="0" w:color="auto"/>
        <w:bottom w:val="none" w:sz="0" w:space="0" w:color="auto"/>
        <w:right w:val="none" w:sz="0" w:space="0" w:color="auto"/>
      </w:divBdr>
    </w:div>
    <w:div w:id="143274961">
      <w:bodyDiv w:val="1"/>
      <w:marLeft w:val="0"/>
      <w:marRight w:val="0"/>
      <w:marTop w:val="0"/>
      <w:marBottom w:val="0"/>
      <w:divBdr>
        <w:top w:val="none" w:sz="0" w:space="0" w:color="auto"/>
        <w:left w:val="none" w:sz="0" w:space="0" w:color="auto"/>
        <w:bottom w:val="none" w:sz="0" w:space="0" w:color="auto"/>
        <w:right w:val="none" w:sz="0" w:space="0" w:color="auto"/>
      </w:divBdr>
    </w:div>
    <w:div w:id="1124301374">
      <w:bodyDiv w:val="1"/>
      <w:marLeft w:val="0"/>
      <w:marRight w:val="0"/>
      <w:marTop w:val="0"/>
      <w:marBottom w:val="0"/>
      <w:divBdr>
        <w:top w:val="none" w:sz="0" w:space="0" w:color="auto"/>
        <w:left w:val="none" w:sz="0" w:space="0" w:color="auto"/>
        <w:bottom w:val="none" w:sz="0" w:space="0" w:color="auto"/>
        <w:right w:val="none" w:sz="0" w:space="0" w:color="auto"/>
      </w:divBdr>
    </w:div>
    <w:div w:id="1413892501">
      <w:bodyDiv w:val="1"/>
      <w:marLeft w:val="0"/>
      <w:marRight w:val="0"/>
      <w:marTop w:val="0"/>
      <w:marBottom w:val="0"/>
      <w:divBdr>
        <w:top w:val="none" w:sz="0" w:space="0" w:color="auto"/>
        <w:left w:val="none" w:sz="0" w:space="0" w:color="auto"/>
        <w:bottom w:val="none" w:sz="0" w:space="0" w:color="auto"/>
        <w:right w:val="none" w:sz="0" w:space="0" w:color="auto"/>
      </w:divBdr>
    </w:div>
    <w:div w:id="15045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47882/Green-Book-Chapter-1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e.gov.uk/msd/d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F7951E-5ADF-42FC-8FC2-D89D051D3351}"/>
      </w:docPartPr>
      <w:docPartBody>
        <w:p w:rsidR="00596C01" w:rsidRDefault="00E94E54">
          <w:r w:rsidRPr="00522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54"/>
    <w:rsid w:val="00452E9D"/>
    <w:rsid w:val="00596C01"/>
    <w:rsid w:val="00A948CC"/>
    <w:rsid w:val="00E94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E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C7C0A-B197-42E6-B65D-44B6F041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2415</Words>
  <Characters>13770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Karen (R0A) Manchester University NHS FT</dc:creator>
  <cp:keywords/>
  <dc:description/>
  <cp:lastModifiedBy>Raheem Oluwatoyosi (R0A) Manchester University NHS Foundation Trust</cp:lastModifiedBy>
  <cp:revision>2</cp:revision>
  <dcterms:created xsi:type="dcterms:W3CDTF">2022-04-21T08:47:00Z</dcterms:created>
  <dcterms:modified xsi:type="dcterms:W3CDTF">2022-04-21T08:47:00Z</dcterms:modified>
</cp:coreProperties>
</file>